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BodyText"/>
        <w:ind w:left="360"/>
        <w:rPr>
          <w:rFonts w:ascii="Times New Roman"/>
          <w:sz w:val="20"/>
        </w:rPr>
      </w:pPr>
      <w:r>
        <w:rPr>
          <w:rFonts w:ascii="Times New Roman"/>
          <w:sz w:val="20"/>
        </w:rPr>
        <w:pict>
          <v:group style="width:451.6pt;height:118.45pt;mso-position-horizontal-relative:char;mso-position-vertical-relative:line" coordorigin="0,0" coordsize="9032,2369">
            <v:rect style="position:absolute;left:0;top:0;width:9032;height:2369" filled="true" fillcolor="#ffffff" stroked="false">
              <v:fill type="solid"/>
            </v:rect>
            <v:shape style="position:absolute;left:0;top:0;width:9032;height:2369" type="#_x0000_t202" filled="false" stroked="false">
              <v:textbox inset="0,0,0,0">
                <w:txbxContent>
                  <w:p>
                    <w:pPr>
                      <w:spacing w:line="2339" w:lineRule="exact" w:before="30"/>
                      <w:ind w:left="194" w:right="0" w:firstLine="0"/>
                      <w:jc w:val="left"/>
                      <w:rPr>
                        <w:rFonts w:ascii="微软雅黑" w:eastAsia="微软雅黑" w:hint="eastAsia"/>
                        <w:sz w:val="140"/>
                      </w:rPr>
                    </w:pPr>
                    <w:r>
                      <w:rPr>
                        <w:rFonts w:ascii="微软雅黑" w:eastAsia="微软雅黑" w:hint="eastAsia"/>
                        <w:color w:val="FF0000"/>
                        <w:w w:val="40"/>
                        <w:sz w:val="140"/>
                      </w:rPr>
                      <w:t>湖南水利水电职业技术学院文件</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pStyle w:val="BodyText"/>
        <w:spacing w:before="54"/>
        <w:ind w:left="1028" w:right="1115"/>
        <w:jc w:val="center"/>
      </w:pPr>
      <w:r>
        <w:rPr/>
        <w:pict>
          <v:shape style="position:absolute;margin-left:90.599998pt;margin-top:-143.800629pt;width:421.05pt;height:63pt;mso-position-horizontal-relative:page;mso-position-vertical-relative:paragraph;z-index:-252497920" type="#_x0000_t202" filled="false" stroked="false">
            <v:textbox inset="0,0,0,0">
              <w:txbxContent>
                <w:p>
                  <w:pPr>
                    <w:spacing w:line="1260" w:lineRule="exact" w:before="0"/>
                    <w:ind w:left="0" w:right="0" w:firstLine="0"/>
                    <w:jc w:val="left"/>
                    <w:rPr>
                      <w:rFonts w:ascii="宋体" w:eastAsia="宋体" w:hint="eastAsia"/>
                      <w:b/>
                      <w:sz w:val="126"/>
                    </w:rPr>
                  </w:pPr>
                  <w:r>
                    <w:rPr>
                      <w:rFonts w:ascii="宋体" w:eastAsia="宋体" w:hint="eastAsia"/>
                      <w:b/>
                      <w:color w:val="FF0000"/>
                      <w:w w:val="45"/>
                      <w:sz w:val="126"/>
                    </w:rPr>
                    <w:t>湖南水利水电职业技术学院文件</w:t>
                  </w:r>
                </w:p>
              </w:txbxContent>
            </v:textbox>
            <w10:wrap type="none"/>
          </v:shape>
        </w:pict>
      </w:r>
      <w:r>
        <w:rPr/>
        <w:t>湘水学院〔2020〕7 号</w:t>
      </w:r>
    </w:p>
    <w:p>
      <w:pPr>
        <w:pStyle w:val="BodyText"/>
        <w:spacing w:before="12"/>
        <w:rPr>
          <w:sz w:val="11"/>
        </w:rPr>
      </w:pPr>
      <w:r>
        <w:rPr/>
        <w:pict>
          <v:line style="position:absolute;mso-position-horizontal-relative:page;mso-position-vertical-relative:paragraph;z-index:-251656192;mso-wrap-distance-left:0;mso-wrap-distance-right:0" from="90.199997pt,10.004736pt" to="511.099997pt,10.004736pt" stroked="true" strokeweight=".8pt" strokecolor="#ff0000">
            <v:stroke dashstyle="solid"/>
            <w10:wrap type="topAndBottom"/>
          </v:line>
        </w:pict>
      </w:r>
    </w:p>
    <w:p>
      <w:pPr>
        <w:pStyle w:val="BodyText"/>
        <w:spacing w:before="4"/>
        <w:rPr>
          <w:sz w:val="31"/>
        </w:rPr>
      </w:pPr>
    </w:p>
    <w:p>
      <w:pPr>
        <w:spacing w:line="237" w:lineRule="auto" w:before="0"/>
        <w:ind w:left="1028" w:right="1115" w:firstLine="0"/>
        <w:jc w:val="center"/>
        <w:rPr>
          <w:rFonts w:ascii="黑体" w:eastAsia="黑体" w:hint="eastAsia"/>
          <w:sz w:val="44"/>
        </w:rPr>
      </w:pPr>
      <w:r>
        <w:rPr/>
        <w:pict>
          <v:shape style="position:absolute;margin-left:70.349998pt;margin-top:.29001pt;width:.1pt;height:56pt;mso-position-horizontal-relative:page;mso-position-vertical-relative:paragraph;z-index:251662336" coordorigin="1407,6" coordsize="0,1120" path="m1407,-12l1407,548m1407,548l1407,1108e" filled="false" stroked="true" strokeweight="0pt" strokecolor="#000000">
            <v:path arrowok="t"/>
            <v:stroke dashstyle="solid"/>
            <w10:wrap type="none"/>
          </v:shape>
        </w:pict>
      </w:r>
      <w:r>
        <w:rPr>
          <w:rFonts w:ascii="黑体" w:eastAsia="黑体" w:hint="eastAsia"/>
          <w:spacing w:val="-1"/>
          <w:sz w:val="44"/>
        </w:rPr>
        <w:t>关于印发《湖南水利水电职业技术学院</w:t>
      </w:r>
      <w:r>
        <w:rPr>
          <w:rFonts w:ascii="黑体" w:eastAsia="黑体" w:hint="eastAsia"/>
          <w:sz w:val="44"/>
        </w:rPr>
        <w:t>固定资产管理办法（试行</w:t>
      </w:r>
      <w:r>
        <w:rPr>
          <w:rFonts w:ascii="黑体" w:eastAsia="黑体" w:hint="eastAsia"/>
          <w:spacing w:val="-221"/>
          <w:sz w:val="44"/>
        </w:rPr>
        <w:t>）</w:t>
      </w:r>
      <w:r>
        <w:rPr>
          <w:rFonts w:ascii="黑体" w:eastAsia="黑体" w:hint="eastAsia"/>
          <w:sz w:val="44"/>
        </w:rPr>
        <w:t>》的通知</w:t>
      </w:r>
    </w:p>
    <w:p>
      <w:pPr>
        <w:pStyle w:val="BodyText"/>
        <w:rPr>
          <w:rFonts w:ascii="黑体"/>
          <w:sz w:val="20"/>
        </w:rPr>
      </w:pPr>
    </w:p>
    <w:p>
      <w:pPr>
        <w:pStyle w:val="BodyText"/>
        <w:rPr>
          <w:rFonts w:ascii="黑体"/>
          <w:sz w:val="20"/>
        </w:rPr>
      </w:pPr>
    </w:p>
    <w:p>
      <w:pPr>
        <w:pStyle w:val="BodyText"/>
        <w:spacing w:before="210"/>
        <w:ind w:left="346"/>
      </w:pPr>
      <w:bookmarkStart w:name="院属各部门： " w:id="1"/>
      <w:bookmarkEnd w:id="1"/>
      <w:r>
        <w:rPr/>
      </w:r>
      <w:r>
        <w:rPr/>
        <w:t>院属各部门：</w:t>
      </w:r>
    </w:p>
    <w:p>
      <w:pPr>
        <w:pStyle w:val="BodyText"/>
        <w:spacing w:line="364" w:lineRule="auto" w:before="214"/>
        <w:ind w:left="346" w:right="112" w:firstLine="640"/>
      </w:pPr>
      <w:bookmarkStart w:name="现将《湖南水利水电职业技术学院固定资产管理办法（试行）》印发给你们，请遵照执行。" w:id="2"/>
      <w:bookmarkEnd w:id="2"/>
      <w:r>
        <w:rPr/>
      </w:r>
      <w:r>
        <w:rPr>
          <w:spacing w:val="-19"/>
          <w:w w:val="95"/>
        </w:rPr>
        <w:t>现将《湖南水利水电职业技术学院固定资产管理办法</w:t>
      </w:r>
      <w:r>
        <w:rPr>
          <w:w w:val="95"/>
        </w:rPr>
        <w:t>（试行</w:t>
      </w:r>
      <w:r>
        <w:rPr>
          <w:spacing w:val="-159"/>
          <w:w w:val="95"/>
        </w:rPr>
        <w:t>）</w:t>
      </w:r>
      <w:r>
        <w:rPr>
          <w:w w:val="95"/>
        </w:rPr>
        <w:t>》 </w:t>
      </w:r>
      <w:r>
        <w:rPr/>
        <w:t>印发给你们，请遵照执行。</w:t>
      </w:r>
    </w:p>
    <w:p>
      <w:pPr>
        <w:pStyle w:val="BodyText"/>
      </w:pPr>
    </w:p>
    <w:p>
      <w:pPr>
        <w:pStyle w:val="BodyText"/>
        <w:spacing w:before="271"/>
        <w:ind w:left="987"/>
      </w:pPr>
      <w:r>
        <w:rPr/>
        <w:t>附件：湖南水利水电职业技术学院固定资产管理办法（试行）</w:t>
      </w:r>
    </w:p>
    <w:p>
      <w:pPr>
        <w:pStyle w:val="BodyText"/>
      </w:pPr>
    </w:p>
    <w:p>
      <w:pPr>
        <w:pStyle w:val="BodyText"/>
        <w:spacing w:before="8"/>
        <w:rPr>
          <w:sz w:val="29"/>
        </w:rPr>
      </w:pPr>
    </w:p>
    <w:p>
      <w:pPr>
        <w:pStyle w:val="BodyText"/>
        <w:spacing w:line="352" w:lineRule="auto" w:before="1"/>
        <w:ind w:left="5453" w:right="1367" w:hanging="1037"/>
      </w:pPr>
      <w:r>
        <w:rPr/>
        <w:t>湖南水利水电职业技术学院2020年4月19日</w:t>
      </w:r>
    </w:p>
    <w:p>
      <w:pPr>
        <w:spacing w:after="0" w:line="352" w:lineRule="auto"/>
        <w:sectPr>
          <w:footerReference w:type="default" r:id="rId5"/>
          <w:footerReference w:type="even" r:id="rId6"/>
          <w:type w:val="continuous"/>
          <w:pgSz w:w="11910" w:h="16840"/>
          <w:pgMar w:footer="1487" w:top="1580" w:bottom="1680" w:left="1240" w:right="1040"/>
          <w:pgNumType w:start="1"/>
        </w:sectPr>
      </w:pPr>
    </w:p>
    <w:p>
      <w:pPr>
        <w:pStyle w:val="BodyText"/>
        <w:rPr>
          <w:sz w:val="20"/>
        </w:rPr>
      </w:pPr>
    </w:p>
    <w:p>
      <w:pPr>
        <w:pStyle w:val="BodyText"/>
        <w:spacing w:before="8"/>
        <w:rPr>
          <w:sz w:val="16"/>
        </w:rPr>
      </w:pPr>
    </w:p>
    <w:p>
      <w:pPr>
        <w:spacing w:line="240" w:lineRule="auto" w:before="37"/>
        <w:ind w:left="2129" w:right="2214" w:firstLine="0"/>
        <w:jc w:val="left"/>
        <w:rPr>
          <w:rFonts w:ascii="黑体" w:eastAsia="黑体" w:hint="eastAsia"/>
          <w:sz w:val="44"/>
        </w:rPr>
      </w:pPr>
      <w:r>
        <w:rPr/>
        <w:pict>
          <v:shape style="position:absolute;margin-left:530.599976pt;margin-top:577.600037pt;width:.1pt;height:56pt;mso-position-horizontal-relative:page;mso-position-vertical-relative:paragraph;z-index:251663360" coordorigin="10612,11552" coordsize="0,1120" path="m10612,30l10612,590m10612,590l10612,1150e" filled="false" stroked="true" strokeweight="0pt" strokecolor="#000000">
            <v:path arrowok="t"/>
            <v:stroke dashstyle="solid"/>
            <w10:wrap type="none"/>
          </v:shape>
        </w:pict>
      </w:r>
      <w:r>
        <w:rPr>
          <w:rFonts w:ascii="黑体" w:eastAsia="黑体" w:hint="eastAsia"/>
          <w:sz w:val="44"/>
        </w:rPr>
        <w:t>湖南水利水电职业技术学院固定资产管理办法（试行）</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5"/>
        <w:rPr>
          <w:rFonts w:ascii="黑体"/>
          <w:sz w:val="15"/>
        </w:rPr>
      </w:pPr>
    </w:p>
    <w:p>
      <w:pPr>
        <w:pStyle w:val="BodyText"/>
        <w:spacing w:before="65"/>
        <w:ind w:left="1028" w:right="1115"/>
        <w:jc w:val="center"/>
        <w:rPr>
          <w:rFonts w:ascii="黑体" w:eastAsia="黑体" w:hint="eastAsia"/>
        </w:rPr>
      </w:pPr>
      <w:r>
        <w:rPr/>
        <w:pict>
          <v:line style="position:absolute;mso-position-horizontal-relative:page;mso-position-vertical-relative:paragraph;z-index:251664384" from="530.599976pt,-2.179981pt" to="530.599976pt,36.820019pt" stroked="true" strokeweight="0pt" strokecolor="#000000">
            <v:stroke dashstyle="solid"/>
            <w10:wrap type="none"/>
          </v:line>
        </w:pict>
      </w:r>
      <w:r>
        <w:rPr>
          <w:rFonts w:ascii="黑体" w:eastAsia="黑体" w:hint="eastAsia"/>
        </w:rPr>
        <w:t>第一章</w:t>
      </w:r>
      <w:r>
        <w:rPr>
          <w:rFonts w:ascii="黑体" w:eastAsia="黑体" w:hint="eastAsia"/>
          <w:spacing w:val="52"/>
        </w:rPr>
        <w:t> 总则</w:t>
      </w:r>
    </w:p>
    <w:p>
      <w:pPr>
        <w:pStyle w:val="BodyText"/>
        <w:spacing w:before="8"/>
        <w:rPr>
          <w:rFonts w:ascii="黑体"/>
          <w:sz w:val="24"/>
        </w:rPr>
      </w:pPr>
    </w:p>
    <w:p>
      <w:pPr>
        <w:pStyle w:val="BodyText"/>
        <w:spacing w:line="364" w:lineRule="auto" w:before="54"/>
        <w:ind w:left="346" w:right="431" w:firstLine="640"/>
        <w:jc w:val="both"/>
      </w:pPr>
      <w:r>
        <w:rPr>
          <w:b/>
          <w:spacing w:val="4"/>
        </w:rPr>
        <w:t>第一条 </w:t>
      </w:r>
      <w:r>
        <w:rPr/>
        <w:t>为了加强学院固定资产的管理，有效防控资产管理</w:t>
      </w:r>
      <w:r>
        <w:rPr>
          <w:spacing w:val="-10"/>
        </w:rPr>
        <w:t>活动风险，维护资产的安全和完整，提高固定资产使用效益，根</w:t>
      </w:r>
      <w:r>
        <w:rPr>
          <w:spacing w:val="-17"/>
        </w:rPr>
        <w:t>据财政部《政府会计准则》、教育部《高等学院会计制度》等相关规定，结合学院实际，制定本办法。</w:t>
      </w:r>
    </w:p>
    <w:p>
      <w:pPr>
        <w:pStyle w:val="BodyText"/>
        <w:spacing w:line="364" w:lineRule="auto" w:before="3"/>
        <w:ind w:left="346" w:right="433" w:firstLine="640"/>
        <w:jc w:val="both"/>
      </w:pPr>
      <w:r>
        <w:rPr>
          <w:b/>
        </w:rPr>
        <w:t>第二条 </w:t>
      </w:r>
      <w:r>
        <w:rPr/>
        <w:t>固定资产管理坚持“合理配置，管用结合，责任到人，物尽其用”的原则。</w:t>
      </w:r>
    </w:p>
    <w:p>
      <w:pPr>
        <w:pStyle w:val="BodyText"/>
        <w:spacing w:line="364" w:lineRule="auto" w:before="2"/>
        <w:ind w:left="346" w:right="431" w:firstLine="640"/>
        <w:jc w:val="both"/>
      </w:pPr>
      <w:r>
        <w:rPr>
          <w:b/>
          <w:spacing w:val="4"/>
        </w:rPr>
        <w:t>第三条 </w:t>
      </w:r>
      <w:r>
        <w:rPr/>
        <w:t>固定资产管理的主要内容：固定资产范围、分类和</w:t>
      </w:r>
      <w:r>
        <w:rPr>
          <w:spacing w:val="-10"/>
        </w:rPr>
        <w:t>计价的确定；固定资产计划及添置、验收与入账；固定资产使用</w:t>
      </w:r>
      <w:r>
        <w:rPr>
          <w:spacing w:val="-12"/>
          <w:w w:val="95"/>
        </w:rPr>
        <w:t>保管、维护维修、调剂；固定资产报废及处置；固定资产清查盘 </w:t>
      </w:r>
      <w:r>
        <w:rPr>
          <w:spacing w:val="-12"/>
        </w:rPr>
        <w:t>点；固定资产账务管理以及固定资产各类统计报表等。</w:t>
      </w:r>
    </w:p>
    <w:p>
      <w:pPr>
        <w:pStyle w:val="BodyText"/>
        <w:spacing w:line="364" w:lineRule="auto" w:before="3"/>
        <w:ind w:left="346" w:right="274" w:firstLine="640"/>
      </w:pPr>
      <w:r>
        <w:rPr/>
        <w:pict>
          <v:line style="position:absolute;mso-position-horizontal-relative:page;mso-position-vertical-relative:paragraph;z-index:251665408" from="530.599976pt,88.319992pt" to="530.599976pt,135.119992pt" stroked="true" strokeweight="0pt" strokecolor="#000000">
            <v:stroke dashstyle="solid"/>
            <w10:wrap type="none"/>
          </v:line>
        </w:pict>
      </w:r>
      <w:r>
        <w:rPr>
          <w:b/>
          <w:spacing w:val="3"/>
        </w:rPr>
        <w:t>第四条 </w:t>
      </w:r>
      <w:r>
        <w:rPr/>
        <w:t>固定资产管理的主要任务：贯彻执行国家有关固定</w:t>
      </w:r>
      <w:r>
        <w:rPr>
          <w:spacing w:val="-18"/>
        </w:rPr>
        <w:t>资产管理的法律、法规和方针政策，保障固定资产的安全和完整， 推动资产的合理配置与有效利用。</w:t>
      </w:r>
    </w:p>
    <w:p>
      <w:pPr>
        <w:pStyle w:val="BodyText"/>
        <w:spacing w:before="159"/>
        <w:ind w:left="1028" w:right="1115"/>
        <w:jc w:val="center"/>
        <w:rPr>
          <w:rFonts w:ascii="黑体" w:eastAsia="黑体" w:hint="eastAsia"/>
        </w:rPr>
      </w:pPr>
      <w:r>
        <w:rPr>
          <w:rFonts w:ascii="黑体" w:eastAsia="黑体" w:hint="eastAsia"/>
        </w:rPr>
        <w:t>第二章 固定资产管理体制与工作职责</w:t>
      </w:r>
    </w:p>
    <w:p>
      <w:pPr>
        <w:pStyle w:val="BodyText"/>
        <w:spacing w:before="8"/>
        <w:rPr>
          <w:rFonts w:ascii="黑体"/>
          <w:sz w:val="24"/>
        </w:rPr>
      </w:pPr>
    </w:p>
    <w:p>
      <w:pPr>
        <w:pStyle w:val="BodyText"/>
        <w:spacing w:before="54"/>
        <w:ind w:left="987"/>
      </w:pPr>
      <w:r>
        <w:rPr>
          <w:b/>
        </w:rPr>
        <w:t>第五条 </w:t>
      </w:r>
      <w:r>
        <w:rPr/>
        <w:t>学院固定资产实行“统一领导、分级管理、管用结</w:t>
      </w:r>
    </w:p>
    <w:p>
      <w:pPr>
        <w:spacing w:after="0"/>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346"/>
      </w:pPr>
      <w:r>
        <w:rPr/>
        <w:t>合、责任到人”的管理体制。</w:t>
      </w:r>
    </w:p>
    <w:p>
      <w:pPr>
        <w:pStyle w:val="BodyText"/>
        <w:spacing w:line="364" w:lineRule="auto" w:before="214"/>
        <w:ind w:left="346" w:right="431" w:firstLine="640"/>
        <w:jc w:val="both"/>
      </w:pPr>
      <w:r>
        <w:rPr>
          <w:b/>
        </w:rPr>
        <w:t>第六条 </w:t>
      </w:r>
      <w:r>
        <w:rPr/>
        <w:t>总务处作为学院固定资产的一级管理机构，代表学院对全院固定资产实施统一监督管理。其主要职责是：</w:t>
      </w:r>
    </w:p>
    <w:p>
      <w:pPr>
        <w:pStyle w:val="ListParagraph"/>
        <w:numPr>
          <w:ilvl w:val="0"/>
          <w:numId w:val="1"/>
        </w:numPr>
        <w:tabs>
          <w:tab w:pos="1470" w:val="left" w:leader="none"/>
        </w:tabs>
        <w:spacing w:line="364" w:lineRule="auto" w:before="1" w:after="0"/>
        <w:ind w:left="346" w:right="433" w:firstLine="640"/>
        <w:jc w:val="both"/>
        <w:rPr>
          <w:sz w:val="32"/>
        </w:rPr>
      </w:pPr>
      <w:r>
        <w:rPr>
          <w:sz w:val="32"/>
        </w:rPr>
        <w:t>贯彻执行国家资产管理法律、法规和方针政策，负责制</w:t>
      </w:r>
      <w:r>
        <w:rPr>
          <w:spacing w:val="-5"/>
          <w:sz w:val="32"/>
        </w:rPr>
        <w:t>定并组织实施学院固定资产管理办法及相关规章制度，会同各物资使用单位制定实施细则；</w:t>
      </w:r>
    </w:p>
    <w:p>
      <w:pPr>
        <w:pStyle w:val="ListParagraph"/>
        <w:numPr>
          <w:ilvl w:val="0"/>
          <w:numId w:val="1"/>
        </w:numPr>
        <w:tabs>
          <w:tab w:pos="1468" w:val="left" w:leader="none"/>
        </w:tabs>
        <w:spacing w:line="240" w:lineRule="auto" w:before="3" w:after="0"/>
        <w:ind w:left="1468" w:right="0" w:hanging="481"/>
        <w:jc w:val="left"/>
        <w:rPr>
          <w:sz w:val="32"/>
        </w:rPr>
      </w:pPr>
      <w:r>
        <w:rPr>
          <w:sz w:val="32"/>
        </w:rPr>
        <w:t>参与学院固定资产的采购与验收工作；</w:t>
      </w:r>
    </w:p>
    <w:p>
      <w:pPr>
        <w:pStyle w:val="ListParagraph"/>
        <w:numPr>
          <w:ilvl w:val="0"/>
          <w:numId w:val="1"/>
        </w:numPr>
        <w:tabs>
          <w:tab w:pos="1470" w:val="left" w:leader="none"/>
        </w:tabs>
        <w:spacing w:line="364" w:lineRule="auto" w:before="214" w:after="0"/>
        <w:ind w:left="346" w:right="433" w:firstLine="640"/>
        <w:jc w:val="left"/>
        <w:rPr>
          <w:sz w:val="32"/>
        </w:rPr>
      </w:pPr>
      <w:r>
        <w:rPr>
          <w:sz w:val="32"/>
        </w:rPr>
        <w:t>负责组织学院的资产清查、资产评估、统计报告、日常管理监督等工作；</w:t>
      </w:r>
    </w:p>
    <w:p>
      <w:pPr>
        <w:pStyle w:val="ListParagraph"/>
        <w:numPr>
          <w:ilvl w:val="0"/>
          <w:numId w:val="1"/>
        </w:numPr>
        <w:tabs>
          <w:tab w:pos="1470" w:val="left" w:leader="none"/>
        </w:tabs>
        <w:spacing w:line="364" w:lineRule="auto" w:before="1" w:after="0"/>
        <w:ind w:left="346" w:right="433" w:firstLine="640"/>
        <w:jc w:val="left"/>
        <w:rPr>
          <w:sz w:val="32"/>
        </w:rPr>
      </w:pPr>
      <w:r>
        <w:rPr>
          <w:sz w:val="32"/>
        </w:rPr>
        <w:t>负责办理资产报损、报废等报批手续，调剂闲置资产， 推动固定资产的优化配置；</w:t>
      </w:r>
    </w:p>
    <w:p>
      <w:pPr>
        <w:pStyle w:val="ListParagraph"/>
        <w:numPr>
          <w:ilvl w:val="0"/>
          <w:numId w:val="1"/>
        </w:numPr>
        <w:tabs>
          <w:tab w:pos="1470" w:val="left" w:leader="none"/>
        </w:tabs>
        <w:spacing w:line="364" w:lineRule="auto" w:before="2" w:after="0"/>
        <w:ind w:left="346" w:right="433" w:firstLine="640"/>
        <w:jc w:val="left"/>
        <w:rPr>
          <w:sz w:val="32"/>
        </w:rPr>
      </w:pPr>
      <w:r>
        <w:rPr>
          <w:sz w:val="32"/>
        </w:rPr>
        <w:t>负责办理调拨变更处置及对外出租、出借、维修、丢失等相关事宜；</w:t>
      </w:r>
    </w:p>
    <w:p>
      <w:pPr>
        <w:pStyle w:val="ListParagraph"/>
        <w:numPr>
          <w:ilvl w:val="0"/>
          <w:numId w:val="1"/>
        </w:numPr>
        <w:tabs>
          <w:tab w:pos="1470" w:val="left" w:leader="none"/>
        </w:tabs>
        <w:spacing w:line="364" w:lineRule="auto" w:before="1" w:after="0"/>
        <w:ind w:left="346" w:right="433" w:firstLine="640"/>
        <w:jc w:val="left"/>
        <w:rPr>
          <w:sz w:val="32"/>
        </w:rPr>
      </w:pPr>
      <w:r>
        <w:rPr>
          <w:sz w:val="32"/>
        </w:rPr>
        <w:t>负责对各系、部、处室的兼职资产管理员的培训与管理和监督各单位的资产使用情况。</w:t>
      </w:r>
    </w:p>
    <w:p>
      <w:pPr>
        <w:pStyle w:val="BodyText"/>
        <w:spacing w:line="364" w:lineRule="auto" w:before="2"/>
        <w:ind w:left="346" w:right="318" w:firstLine="640"/>
      </w:pPr>
      <w:r>
        <w:rPr>
          <w:b/>
        </w:rPr>
        <w:t>第七条 </w:t>
      </w:r>
      <w:r>
        <w:rPr/>
        <w:t>各系、部、处室是学院固定资产的二级管理机构， 负责本部门（系、部、处室）固定资产的日常管理。部门负责人对本部门资产负有管理职责，是本部门所管资产的第一责任人。并配备专职（或兼职）管理人员，其主要职责是：</w:t>
      </w:r>
    </w:p>
    <w:p>
      <w:pPr>
        <w:pStyle w:val="ListParagraph"/>
        <w:numPr>
          <w:ilvl w:val="0"/>
          <w:numId w:val="2"/>
        </w:numPr>
        <w:tabs>
          <w:tab w:pos="1470" w:val="left" w:leader="none"/>
        </w:tabs>
        <w:spacing w:line="240" w:lineRule="auto" w:before="3" w:after="0"/>
        <w:ind w:left="1469" w:right="0" w:hanging="483"/>
        <w:jc w:val="left"/>
        <w:rPr>
          <w:sz w:val="32"/>
        </w:rPr>
      </w:pPr>
      <w:r>
        <w:rPr>
          <w:sz w:val="32"/>
        </w:rPr>
        <w:t>根据学院资产管理部门的要求，对本部门固定资产定期</w:t>
      </w:r>
    </w:p>
    <w:p>
      <w:pPr>
        <w:spacing w:after="0" w:line="240" w:lineRule="auto"/>
        <w:jc w:val="left"/>
        <w:rPr>
          <w:sz w:val="32"/>
        </w:rPr>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346"/>
      </w:pPr>
      <w:r>
        <w:rPr/>
        <w:t>进行清查，保证账、卡、物相符；</w:t>
      </w:r>
    </w:p>
    <w:p>
      <w:pPr>
        <w:pStyle w:val="ListParagraph"/>
        <w:numPr>
          <w:ilvl w:val="0"/>
          <w:numId w:val="2"/>
        </w:numPr>
        <w:tabs>
          <w:tab w:pos="1470" w:val="left" w:leader="none"/>
        </w:tabs>
        <w:spacing w:line="364" w:lineRule="auto" w:before="214" w:after="0"/>
        <w:ind w:left="346" w:right="433" w:firstLine="640"/>
        <w:jc w:val="left"/>
        <w:rPr>
          <w:sz w:val="32"/>
        </w:rPr>
      </w:pPr>
      <w:r>
        <w:rPr>
          <w:sz w:val="32"/>
        </w:rPr>
        <w:t>申报资产购置计划，参与固定资产购建的招标、采购、验收等工作；</w:t>
      </w:r>
    </w:p>
    <w:p>
      <w:pPr>
        <w:pStyle w:val="ListParagraph"/>
        <w:numPr>
          <w:ilvl w:val="0"/>
          <w:numId w:val="2"/>
        </w:numPr>
        <w:tabs>
          <w:tab w:pos="1470" w:val="left" w:leader="none"/>
        </w:tabs>
        <w:spacing w:line="364" w:lineRule="auto" w:before="1" w:after="0"/>
        <w:ind w:left="346" w:right="433" w:firstLine="640"/>
        <w:jc w:val="left"/>
        <w:rPr>
          <w:sz w:val="32"/>
        </w:rPr>
      </w:pPr>
      <w:r>
        <w:rPr/>
        <w:pict>
          <v:shape style="position:absolute;margin-left:530.599976pt;margin-top:314.760010pt;width:.1pt;height:62.4pt;mso-position-horizontal-relative:page;mso-position-vertical-relative:paragraph;z-index:251666432" coordorigin="10612,6295" coordsize="0,1248" path="m10612,1141l10612,1765m10612,1765l10612,2389e" filled="false" stroked="true" strokeweight=".45617pt" strokecolor="#000000">
            <v:path arrowok="t"/>
            <v:stroke dashstyle="solid"/>
            <w10:wrap type="none"/>
          </v:shape>
        </w:pict>
      </w:r>
      <w:r>
        <w:rPr>
          <w:sz w:val="32"/>
        </w:rPr>
        <w:t>对本部门固定资产报废、报损进行初步技术鉴定，提出处理建议。</w:t>
      </w:r>
    </w:p>
    <w:p>
      <w:pPr>
        <w:pStyle w:val="BodyText"/>
        <w:spacing w:line="364" w:lineRule="auto" w:before="2"/>
        <w:ind w:left="346" w:right="431" w:firstLine="640"/>
      </w:pPr>
      <w:r>
        <w:rPr>
          <w:b/>
        </w:rPr>
        <w:t>第八条 </w:t>
      </w:r>
      <w:r>
        <w:rPr/>
        <w:t>根据学院固定资产不同表现形式及其使用、运行方式的不同，明确资产归口部门及其分工如下：</w:t>
      </w:r>
    </w:p>
    <w:p>
      <w:pPr>
        <w:pStyle w:val="BodyText"/>
        <w:spacing w:line="364" w:lineRule="auto" w:before="1"/>
        <w:ind w:left="346" w:right="318" w:firstLine="640"/>
        <w:jc w:val="both"/>
      </w:pPr>
      <w:r>
        <w:rPr/>
        <w:t>（一</w:t>
      </w:r>
      <w:r>
        <w:rPr>
          <w:spacing w:val="-149"/>
        </w:rPr>
        <w:t>）</w:t>
      </w:r>
      <w:r>
        <w:rPr>
          <w:spacing w:val="-19"/>
        </w:rPr>
        <w:t>党政办公室：负责院领导办公设备和家具及会议室</w:t>
      </w:r>
      <w:r>
        <w:rPr/>
        <w:t>（含</w:t>
      </w:r>
      <w:r>
        <w:rPr>
          <w:rFonts w:ascii="宋体" w:eastAsia="宋体" w:hint="eastAsia"/>
        </w:rPr>
        <w:t>礼</w:t>
      </w:r>
      <w:r>
        <w:rPr/>
        <w:t>堂</w:t>
      </w:r>
      <w:r>
        <w:rPr>
          <w:spacing w:val="-39"/>
        </w:rPr>
        <w:t>）</w:t>
      </w:r>
      <w:r>
        <w:rPr>
          <w:spacing w:val="-9"/>
        </w:rPr>
        <w:t>等资产的管理；学院校名、校徽等无形资产的管理和权界定；负责学院各项规章制度及档案材料、文物及陈列品的管理。</w:t>
      </w:r>
    </w:p>
    <w:p>
      <w:pPr>
        <w:pStyle w:val="BodyText"/>
        <w:spacing w:line="364" w:lineRule="auto" w:before="3"/>
        <w:ind w:left="346" w:right="318" w:firstLine="640"/>
      </w:pPr>
      <w:r>
        <w:rPr/>
        <w:t>（二）宣传部：负责学院电视、广播设备、信息网络设备、宣传栏、体育馆等资产的管理。</w:t>
      </w:r>
    </w:p>
    <w:p>
      <w:pPr>
        <w:pStyle w:val="BodyText"/>
        <w:spacing w:line="364" w:lineRule="auto" w:before="1"/>
        <w:ind w:left="346" w:right="429" w:firstLine="640"/>
        <w:jc w:val="both"/>
      </w:pPr>
      <w:r>
        <w:rPr/>
        <w:t>（三</w:t>
      </w:r>
      <w:r>
        <w:rPr>
          <w:spacing w:val="-39"/>
        </w:rPr>
        <w:t>）</w:t>
      </w:r>
      <w:r>
        <w:rPr>
          <w:spacing w:val="-8"/>
        </w:rPr>
        <w:t>计划财务处：负责学院资产价值的核算管理。贯彻国</w:t>
      </w:r>
      <w:r>
        <w:rPr>
          <w:spacing w:val="-13"/>
          <w:w w:val="95"/>
        </w:rPr>
        <w:t>家财务政策、法规，负责资金的计划、分配、核算工作，建立健 </w:t>
      </w:r>
      <w:r>
        <w:rPr>
          <w:spacing w:val="-14"/>
        </w:rPr>
        <w:t>全现金、各种存款及有价证券的内部管理制度，及时清理结算应</w:t>
      </w:r>
      <w:r>
        <w:rPr>
          <w:spacing w:val="-14"/>
          <w:w w:val="95"/>
        </w:rPr>
        <w:t>付、暂付</w:t>
      </w:r>
      <w:r>
        <w:rPr>
          <w:w w:val="95"/>
        </w:rPr>
        <w:t>（预付</w:t>
      </w:r>
      <w:r>
        <w:rPr>
          <w:spacing w:val="-19"/>
          <w:w w:val="95"/>
        </w:rPr>
        <w:t>）</w:t>
      </w:r>
      <w:r>
        <w:rPr>
          <w:spacing w:val="-7"/>
          <w:w w:val="95"/>
        </w:rPr>
        <w:t>款项，避免呆账、坏账。每学期末与固定资产 </w:t>
      </w:r>
      <w:r>
        <w:rPr>
          <w:spacing w:val="-7"/>
        </w:rPr>
        <w:t>管理科进行固定资产账目核对。</w:t>
      </w:r>
    </w:p>
    <w:p>
      <w:pPr>
        <w:pStyle w:val="BodyText"/>
        <w:spacing w:before="4"/>
        <w:ind w:left="987"/>
      </w:pPr>
      <w:r>
        <w:rPr/>
        <w:t>（四）教务处：负责学院实验实训室管理和仪器设备调配。</w:t>
      </w:r>
    </w:p>
    <w:p>
      <w:pPr>
        <w:pStyle w:val="BodyText"/>
        <w:spacing w:line="364" w:lineRule="auto" w:before="214"/>
        <w:ind w:left="346" w:right="431" w:firstLine="640"/>
      </w:pPr>
      <w:r>
        <w:rPr/>
        <w:t>（五</w:t>
      </w:r>
      <w:r>
        <w:rPr>
          <w:spacing w:val="-39"/>
        </w:rPr>
        <w:t>）</w:t>
      </w:r>
      <w:r>
        <w:rPr>
          <w:spacing w:val="-9"/>
        </w:rPr>
        <w:t>科研处：负责学院各单位、个人使用科研经费购买的各类资产的管理。</w:t>
      </w:r>
    </w:p>
    <w:p>
      <w:pPr>
        <w:spacing w:after="0" w:line="364" w:lineRule="auto"/>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987"/>
      </w:pPr>
      <w:r>
        <w:rPr/>
        <w:t>（六）保卫处：负责各类安防与消防设备等资产的管理。</w:t>
      </w:r>
    </w:p>
    <w:p>
      <w:pPr>
        <w:pStyle w:val="BodyText"/>
        <w:spacing w:line="364" w:lineRule="auto" w:before="214"/>
        <w:ind w:left="346" w:right="318" w:firstLine="640"/>
      </w:pPr>
      <w:r>
        <w:rPr/>
        <w:t>（七</w:t>
      </w:r>
      <w:r>
        <w:rPr>
          <w:spacing w:val="-29"/>
        </w:rPr>
        <w:t>）</w:t>
      </w:r>
      <w:r>
        <w:rPr>
          <w:spacing w:val="-10"/>
        </w:rPr>
        <w:t>总务处：负责学院房屋及构筑物、车辆、房屋的维修及生活服务设施、水电设施、园林植物、食堂营具、医疗器械、</w:t>
      </w:r>
      <w:r>
        <w:rPr>
          <w:spacing w:val="-15"/>
        </w:rPr>
        <w:t>办公用品耗材等资产的管理；负责考核和评价学院各级管理部门固定资产管理效益的行为。</w:t>
      </w:r>
    </w:p>
    <w:p>
      <w:pPr>
        <w:pStyle w:val="BodyText"/>
        <w:spacing w:before="3"/>
        <w:ind w:left="987"/>
      </w:pPr>
      <w:r>
        <w:rPr/>
        <w:t>（八）图书馆：负责各类图书资料等资产的管理。</w:t>
      </w:r>
    </w:p>
    <w:p>
      <w:pPr>
        <w:pStyle w:val="BodyText"/>
        <w:spacing w:before="214"/>
        <w:ind w:left="987"/>
      </w:pPr>
      <w:r>
        <w:rPr>
          <w:spacing w:val="2"/>
          <w:w w:val="99"/>
        </w:rPr>
        <w:t>（九）体育课部（</w:t>
      </w:r>
      <w:r>
        <w:rPr>
          <w:spacing w:val="1"/>
          <w:w w:val="99"/>
        </w:rPr>
        <w:t>教学部</w:t>
      </w:r>
      <w:r>
        <w:rPr>
          <w:spacing w:val="-156"/>
          <w:w w:val="99"/>
        </w:rPr>
        <w:t>）</w:t>
      </w:r>
      <w:r>
        <w:rPr>
          <w:spacing w:val="1"/>
          <w:w w:val="99"/>
        </w:rPr>
        <w:t>：负责学院体育设施等资产的管</w:t>
      </w:r>
    </w:p>
    <w:p>
      <w:pPr>
        <w:pStyle w:val="BodyText"/>
        <w:spacing w:before="6"/>
        <w:rPr>
          <w:sz w:val="12"/>
        </w:rPr>
      </w:pPr>
    </w:p>
    <w:p>
      <w:pPr>
        <w:pStyle w:val="BodyText"/>
        <w:spacing w:before="54"/>
        <w:ind w:left="346"/>
      </w:pPr>
      <w:r>
        <w:rPr/>
        <w:t>理。</w:t>
      </w:r>
    </w:p>
    <w:p>
      <w:pPr>
        <w:pStyle w:val="BodyText"/>
        <w:spacing w:before="214"/>
        <w:ind w:left="987"/>
      </w:pPr>
      <w:r>
        <w:rPr/>
        <w:t>（十</w:t>
      </w:r>
      <w:r>
        <w:rPr>
          <w:spacing w:val="-58"/>
        </w:rPr>
        <w:t>）</w:t>
      </w:r>
      <w:r>
        <w:rPr>
          <w:spacing w:val="-8"/>
        </w:rPr>
        <w:t>各系部：负责本部门实验实训仪器设备及教学耗材的</w:t>
      </w:r>
    </w:p>
    <w:p>
      <w:pPr>
        <w:pStyle w:val="BodyText"/>
        <w:spacing w:before="6"/>
        <w:rPr>
          <w:sz w:val="12"/>
        </w:rPr>
      </w:pPr>
    </w:p>
    <w:p>
      <w:pPr>
        <w:pStyle w:val="BodyText"/>
        <w:spacing w:before="54"/>
        <w:ind w:left="346"/>
      </w:pPr>
      <w:r>
        <w:rPr/>
        <w:t>管理。</w:t>
      </w:r>
    </w:p>
    <w:p>
      <w:pPr>
        <w:pStyle w:val="BodyText"/>
        <w:spacing w:before="8"/>
        <w:rPr>
          <w:sz w:val="24"/>
        </w:rPr>
      </w:pPr>
    </w:p>
    <w:p>
      <w:pPr>
        <w:pStyle w:val="BodyText"/>
        <w:tabs>
          <w:tab w:pos="1279" w:val="left" w:leader="none"/>
        </w:tabs>
        <w:spacing w:before="55"/>
        <w:ind w:right="87"/>
        <w:jc w:val="center"/>
        <w:rPr>
          <w:rFonts w:ascii="黑体" w:eastAsia="黑体" w:hint="eastAsia"/>
        </w:rPr>
      </w:pPr>
      <w:r>
        <w:rPr>
          <w:rFonts w:ascii="黑体" w:eastAsia="黑体" w:hint="eastAsia"/>
        </w:rPr>
        <w:t>第三章</w:t>
        <w:tab/>
        <w:t>固定资产范围、分类、计价与使用年限</w:t>
      </w:r>
    </w:p>
    <w:p>
      <w:pPr>
        <w:pStyle w:val="BodyText"/>
        <w:spacing w:before="11"/>
        <w:rPr>
          <w:rFonts w:ascii="黑体"/>
          <w:sz w:val="28"/>
        </w:rPr>
      </w:pPr>
    </w:p>
    <w:p>
      <w:pPr>
        <w:pStyle w:val="BodyText"/>
        <w:ind w:left="987"/>
      </w:pPr>
      <w:r>
        <w:rPr/>
        <w:pict>
          <v:line style="position:absolute;mso-position-horizontal-relative:page;mso-position-vertical-relative:paragraph;z-index:251667456" from="70.349998pt,-5.390002pt" to="70.349998pt,25.809998pt" stroked="true" strokeweight=".45617pt" strokecolor="#000000">
            <v:stroke dashstyle="solid"/>
            <w10:wrap type="none"/>
          </v:line>
        </w:pict>
      </w:r>
      <w:r>
        <w:rPr>
          <w:b/>
        </w:rPr>
        <w:t>第九条 </w:t>
      </w:r>
      <w:r>
        <w:rPr/>
        <w:t>符合下列条件的纳入固定资产管理：</w:t>
      </w:r>
    </w:p>
    <w:p>
      <w:pPr>
        <w:pStyle w:val="BodyText"/>
        <w:spacing w:before="214"/>
        <w:ind w:left="987"/>
      </w:pPr>
      <w:r>
        <w:rPr/>
        <w:t>（一）土地、房屋及构筑物，动植物；</w:t>
      </w:r>
    </w:p>
    <w:p>
      <w:pPr>
        <w:pStyle w:val="BodyText"/>
        <w:spacing w:before="214"/>
        <w:ind w:left="987"/>
      </w:pPr>
      <w:r>
        <w:rPr/>
        <w:t>（二</w:t>
      </w:r>
      <w:r>
        <w:rPr>
          <w:spacing w:val="-39"/>
        </w:rPr>
        <w:t>）</w:t>
      </w:r>
      <w:r>
        <w:rPr>
          <w:spacing w:val="-11"/>
        </w:rPr>
        <w:t>一般设备单价在 </w:t>
      </w:r>
      <w:r>
        <w:rPr/>
        <w:t>1000</w:t>
      </w:r>
      <w:r>
        <w:rPr>
          <w:spacing w:val="-25"/>
        </w:rPr>
        <w:t> 元及以上</w:t>
      </w:r>
      <w:r>
        <w:rPr/>
        <w:t>（</w:t>
      </w:r>
      <w:r>
        <w:rPr>
          <w:spacing w:val="-2"/>
        </w:rPr>
        <w:t>含 </w:t>
      </w:r>
      <w:r>
        <w:rPr/>
        <w:t>1000</w:t>
      </w:r>
      <w:r>
        <w:rPr>
          <w:spacing w:val="-3"/>
        </w:rPr>
        <w:t> 元</w:t>
      </w:r>
      <w:r>
        <w:rPr>
          <w:spacing w:val="-100"/>
        </w:rPr>
        <w:t>）</w:t>
      </w:r>
      <w:r>
        <w:rPr>
          <w:spacing w:val="-34"/>
        </w:rPr>
        <w:t>，专用</w:t>
      </w:r>
    </w:p>
    <w:p>
      <w:pPr>
        <w:pStyle w:val="BodyText"/>
        <w:spacing w:before="214"/>
        <w:ind w:left="346"/>
      </w:pPr>
      <w:r>
        <w:rPr>
          <w:spacing w:val="-14"/>
        </w:rPr>
        <w:t>设备单价在 </w:t>
      </w:r>
      <w:r>
        <w:rPr/>
        <w:t>1500</w:t>
      </w:r>
      <w:r>
        <w:rPr>
          <w:spacing w:val="-46"/>
        </w:rPr>
        <w:t> 元及以上</w:t>
      </w:r>
      <w:r>
        <w:rPr/>
        <w:t>（</w:t>
      </w:r>
      <w:r>
        <w:rPr>
          <w:spacing w:val="-2"/>
        </w:rPr>
        <w:t>含 </w:t>
      </w:r>
      <w:r>
        <w:rPr/>
        <w:t>1500</w:t>
      </w:r>
      <w:r>
        <w:rPr>
          <w:spacing w:val="-3"/>
        </w:rPr>
        <w:t> 元</w:t>
      </w:r>
      <w:r>
        <w:rPr>
          <w:spacing w:val="-153"/>
        </w:rPr>
        <w:t>）</w:t>
      </w:r>
      <w:r>
        <w:rPr>
          <w:spacing w:val="-32"/>
        </w:rPr>
        <w:t>，使用期限超过 </w:t>
      </w:r>
      <w:r>
        <w:rPr/>
        <w:t>1</w:t>
      </w:r>
      <w:r>
        <w:rPr>
          <w:spacing w:val="-111"/>
        </w:rPr>
        <w:t> 年</w:t>
      </w:r>
      <w:r>
        <w:rPr/>
        <w:t>（不</w:t>
      </w:r>
    </w:p>
    <w:p>
      <w:pPr>
        <w:pStyle w:val="BodyText"/>
        <w:spacing w:line="364" w:lineRule="auto" w:before="214"/>
        <w:ind w:left="346" w:right="318"/>
      </w:pPr>
      <w:r>
        <w:rPr>
          <w:spacing w:val="-43"/>
        </w:rPr>
        <w:t>含 </w:t>
      </w:r>
      <w:r>
        <w:rPr/>
        <w:t>1</w:t>
      </w:r>
      <w:r>
        <w:rPr>
          <w:spacing w:val="-43"/>
        </w:rPr>
        <w:t> 年</w:t>
      </w:r>
      <w:r>
        <w:rPr/>
        <w:t>）以上，并在使用过程中基本保持原来物质形态的资产。</w:t>
      </w:r>
      <w:r>
        <w:rPr>
          <w:spacing w:val="-8"/>
        </w:rPr>
        <w:t>单台套价值虽未达到上述规定标准，但是使用期限超过 </w:t>
      </w:r>
      <w:r>
        <w:rPr/>
        <w:t>1</w:t>
      </w:r>
      <w:r>
        <w:rPr>
          <w:spacing w:val="-71"/>
        </w:rPr>
        <w:t> 年</w:t>
      </w:r>
      <w:r>
        <w:rPr/>
        <w:t>（不</w:t>
      </w:r>
      <w:r>
        <w:rPr>
          <w:spacing w:val="-42"/>
        </w:rPr>
        <w:t>含 </w:t>
      </w:r>
      <w:r>
        <w:rPr/>
        <w:t>1</w:t>
      </w:r>
      <w:r>
        <w:rPr>
          <w:spacing w:val="-42"/>
        </w:rPr>
        <w:t> 年</w:t>
      </w:r>
      <w:r>
        <w:rPr>
          <w:spacing w:val="-39"/>
        </w:rPr>
        <w:t>）</w:t>
      </w:r>
      <w:r>
        <w:rPr>
          <w:spacing w:val="-7"/>
        </w:rPr>
        <w:t>的大批同类物资，也作为固定资产管理。重要设备指单</w:t>
      </w:r>
    </w:p>
    <w:p>
      <w:pPr>
        <w:pStyle w:val="BodyText"/>
        <w:spacing w:before="2"/>
        <w:ind w:left="346"/>
      </w:pPr>
      <w:r>
        <w:rPr/>
        <w:pict>
          <v:line style="position:absolute;mso-position-horizontal-relative:page;mso-position-vertical-relative:paragraph;z-index:251668480" from="70.349998pt,25.910004pt" to="70.349998pt,55.310004pt" stroked="true" strokeweight=".45617pt" strokecolor="#000000">
            <v:stroke dashstyle="solid"/>
            <w10:wrap type="none"/>
          </v:line>
        </w:pict>
      </w:r>
      <w:r>
        <w:rPr/>
        <w:t>价在 50 万元及以上。</w:t>
      </w:r>
    </w:p>
    <w:p>
      <w:pPr>
        <w:spacing w:before="214"/>
        <w:ind w:left="987" w:right="0" w:firstLine="0"/>
        <w:jc w:val="left"/>
        <w:rPr>
          <w:sz w:val="32"/>
        </w:rPr>
      </w:pPr>
      <w:r>
        <w:rPr>
          <w:b/>
          <w:sz w:val="32"/>
        </w:rPr>
        <w:t>第十条 </w:t>
      </w:r>
      <w:r>
        <w:rPr>
          <w:sz w:val="32"/>
        </w:rPr>
        <w:t>固定资产的分类</w:t>
      </w:r>
    </w:p>
    <w:p>
      <w:pPr>
        <w:spacing w:after="0"/>
        <w:jc w:val="left"/>
        <w:rPr>
          <w:sz w:val="32"/>
        </w:rPr>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line="364" w:lineRule="auto" w:before="55"/>
        <w:ind w:left="346" w:right="431" w:firstLine="640"/>
        <w:jc w:val="both"/>
      </w:pPr>
      <w:r>
        <w:rPr>
          <w:w w:val="95"/>
        </w:rPr>
        <w:t>（一</w:t>
      </w:r>
      <w:r>
        <w:rPr>
          <w:spacing w:val="-29"/>
          <w:w w:val="95"/>
        </w:rPr>
        <w:t>）</w:t>
      </w:r>
      <w:r>
        <w:rPr>
          <w:spacing w:val="-8"/>
          <w:w w:val="95"/>
        </w:rPr>
        <w:t>根据教育部《高等学院会计制度》有关规定，固定资 </w:t>
      </w:r>
      <w:r>
        <w:rPr>
          <w:spacing w:val="-13"/>
        </w:rPr>
        <w:t>产分为六大类，即房屋及构筑物、专用设备、一般设备、文物及陈列品、图书、其它固定资产。</w:t>
      </w:r>
    </w:p>
    <w:p>
      <w:pPr>
        <w:pStyle w:val="ListParagraph"/>
        <w:numPr>
          <w:ilvl w:val="0"/>
          <w:numId w:val="3"/>
        </w:numPr>
        <w:tabs>
          <w:tab w:pos="1470" w:val="left" w:leader="none"/>
        </w:tabs>
        <w:spacing w:line="364" w:lineRule="auto" w:before="2" w:after="0"/>
        <w:ind w:left="346" w:right="274" w:firstLine="640"/>
        <w:jc w:val="left"/>
        <w:rPr>
          <w:sz w:val="32"/>
        </w:rPr>
      </w:pPr>
      <w:r>
        <w:rPr>
          <w:sz w:val="32"/>
        </w:rPr>
        <w:t>房屋及构筑物，指房屋、构筑物及其附属设施。学院房屋包括教学科研用房、图书馆用房、行政办公用房、文体用房、</w:t>
      </w:r>
      <w:r>
        <w:rPr>
          <w:spacing w:val="-19"/>
          <w:sz w:val="32"/>
        </w:rPr>
        <w:t>会堂用房、医院用房、食堂餐厅用房、仓库用房、学生宿舍用房、</w:t>
      </w:r>
      <w:r>
        <w:rPr>
          <w:sz w:val="32"/>
        </w:rPr>
        <w:t>职工家属宿舍用房、招待所用房等；构筑物包括道路、运动场、</w:t>
      </w:r>
      <w:r>
        <w:rPr>
          <w:spacing w:val="-11"/>
          <w:sz w:val="32"/>
        </w:rPr>
        <w:t>围墙、水塔、雕塑等；附属设施包括房屋及建筑物内的电梯、通</w:t>
      </w:r>
      <w:r>
        <w:rPr>
          <w:spacing w:val="-13"/>
          <w:sz w:val="32"/>
        </w:rPr>
        <w:t>讯线路、输电线路、水气管道等与房屋、构筑物不可分割的、不能单独计算价值的配套设施；</w:t>
      </w:r>
    </w:p>
    <w:p>
      <w:pPr>
        <w:pStyle w:val="ListParagraph"/>
        <w:numPr>
          <w:ilvl w:val="0"/>
          <w:numId w:val="3"/>
        </w:numPr>
        <w:tabs>
          <w:tab w:pos="1470" w:val="left" w:leader="none"/>
        </w:tabs>
        <w:spacing w:line="364" w:lineRule="auto" w:before="6" w:after="0"/>
        <w:ind w:left="346" w:right="433" w:firstLine="640"/>
        <w:jc w:val="both"/>
        <w:rPr>
          <w:sz w:val="32"/>
        </w:rPr>
      </w:pPr>
      <w:r>
        <w:rPr>
          <w:sz w:val="32"/>
        </w:rPr>
        <w:t>专用设备，指各种具有专门性能和专门用途的设备，包括仪器仪表、机械设备（交通运输车辆除外</w:t>
      </w:r>
      <w:r>
        <w:rPr>
          <w:spacing w:val="-156"/>
          <w:sz w:val="32"/>
        </w:rPr>
        <w:t>）</w:t>
      </w:r>
      <w:r>
        <w:rPr>
          <w:sz w:val="32"/>
        </w:rPr>
        <w:t>、电子设备、印刷机械、卫生医疗器械、文体设备等；</w:t>
      </w:r>
    </w:p>
    <w:p>
      <w:pPr>
        <w:pStyle w:val="ListParagraph"/>
        <w:numPr>
          <w:ilvl w:val="0"/>
          <w:numId w:val="3"/>
        </w:numPr>
        <w:tabs>
          <w:tab w:pos="1468" w:val="left" w:leader="none"/>
        </w:tabs>
        <w:spacing w:line="364" w:lineRule="auto" w:before="2" w:after="0"/>
        <w:ind w:left="346" w:right="270" w:firstLine="640"/>
        <w:jc w:val="left"/>
        <w:rPr>
          <w:sz w:val="32"/>
        </w:rPr>
      </w:pPr>
      <w:r>
        <w:rPr>
          <w:spacing w:val="-8"/>
          <w:sz w:val="32"/>
        </w:rPr>
        <w:t>一般设备，指办公和事务用的通用性设备、交通工具等，包括行政办公设备和交通运输车辆；</w:t>
      </w:r>
    </w:p>
    <w:p>
      <w:pPr>
        <w:pStyle w:val="ListParagraph"/>
        <w:numPr>
          <w:ilvl w:val="0"/>
          <w:numId w:val="3"/>
        </w:numPr>
        <w:tabs>
          <w:tab w:pos="1468" w:val="left" w:leader="none"/>
        </w:tabs>
        <w:spacing w:line="364" w:lineRule="auto" w:before="2" w:after="0"/>
        <w:ind w:left="346" w:right="268" w:firstLine="640"/>
        <w:jc w:val="left"/>
        <w:rPr>
          <w:sz w:val="32"/>
        </w:rPr>
      </w:pPr>
      <w:r>
        <w:rPr>
          <w:spacing w:val="-8"/>
          <w:sz w:val="32"/>
        </w:rPr>
        <w:t>文物及陈列品，指古玩、字画、纪念品、装饰品、展品、藏品等；</w:t>
      </w:r>
    </w:p>
    <w:p>
      <w:pPr>
        <w:pStyle w:val="ListParagraph"/>
        <w:numPr>
          <w:ilvl w:val="0"/>
          <w:numId w:val="3"/>
        </w:numPr>
        <w:tabs>
          <w:tab w:pos="1468" w:val="left" w:leader="none"/>
        </w:tabs>
        <w:spacing w:line="240" w:lineRule="auto" w:before="1" w:after="0"/>
        <w:ind w:left="1468" w:right="0" w:hanging="481"/>
        <w:jc w:val="left"/>
        <w:rPr>
          <w:sz w:val="32"/>
        </w:rPr>
      </w:pPr>
      <w:r>
        <w:rPr>
          <w:w w:val="95"/>
          <w:sz w:val="32"/>
        </w:rPr>
        <w:t>图书，指图书馆保存的图书、资料等；</w:t>
      </w:r>
    </w:p>
    <w:p>
      <w:pPr>
        <w:pStyle w:val="ListParagraph"/>
        <w:numPr>
          <w:ilvl w:val="0"/>
          <w:numId w:val="3"/>
        </w:numPr>
        <w:tabs>
          <w:tab w:pos="1470" w:val="left" w:leader="none"/>
        </w:tabs>
        <w:spacing w:line="364" w:lineRule="auto" w:before="214" w:after="0"/>
        <w:ind w:left="346" w:right="433" w:firstLine="640"/>
        <w:jc w:val="left"/>
        <w:rPr>
          <w:sz w:val="32"/>
        </w:rPr>
      </w:pPr>
      <w:r>
        <w:rPr>
          <w:sz w:val="32"/>
        </w:rPr>
        <w:t>其它固定资产，指未能包括在上述各项内的固定资产。</w:t>
      </w:r>
      <w:r>
        <w:rPr>
          <w:spacing w:val="-11"/>
          <w:w w:val="95"/>
          <w:sz w:val="32"/>
        </w:rPr>
        <w:t>如家具、标本模型、被服装具、土地及植物、工具、量具和器具</w:t>
      </w:r>
    </w:p>
    <w:p>
      <w:pPr>
        <w:spacing w:after="0" w:line="364" w:lineRule="auto"/>
        <w:jc w:val="left"/>
        <w:rPr>
          <w:sz w:val="32"/>
        </w:rPr>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346"/>
      </w:pPr>
      <w:r>
        <w:rPr/>
        <w:t>等。</w:t>
      </w:r>
    </w:p>
    <w:p>
      <w:pPr>
        <w:pStyle w:val="BodyText"/>
        <w:spacing w:before="214"/>
        <w:ind w:left="987"/>
      </w:pPr>
      <w:r>
        <w:rPr/>
        <w:t>（二）根据教育部《高等学校固定资产分类目录》，学院固</w:t>
      </w:r>
    </w:p>
    <w:p>
      <w:pPr>
        <w:pStyle w:val="BodyText"/>
        <w:spacing w:before="5"/>
        <w:rPr>
          <w:sz w:val="12"/>
        </w:rPr>
      </w:pPr>
    </w:p>
    <w:p>
      <w:pPr>
        <w:pStyle w:val="BodyText"/>
        <w:spacing w:line="364" w:lineRule="auto" w:before="55"/>
        <w:ind w:left="987" w:right="4784" w:hanging="641"/>
      </w:pPr>
      <w:r>
        <w:rPr/>
        <w:t>定资产按十六类明细进行管理： 1．房屋构筑物；</w:t>
      </w:r>
    </w:p>
    <w:p>
      <w:pPr>
        <w:pStyle w:val="ListParagraph"/>
        <w:numPr>
          <w:ilvl w:val="0"/>
          <w:numId w:val="4"/>
        </w:numPr>
        <w:tabs>
          <w:tab w:pos="1468" w:val="left" w:leader="none"/>
        </w:tabs>
        <w:spacing w:line="240" w:lineRule="auto" w:before="1" w:after="0"/>
        <w:ind w:left="1468" w:right="0" w:hanging="481"/>
        <w:jc w:val="left"/>
        <w:rPr>
          <w:sz w:val="32"/>
        </w:rPr>
      </w:pPr>
      <w:r>
        <w:rPr>
          <w:sz w:val="32"/>
        </w:rPr>
        <w:t>土地及植物；</w:t>
      </w:r>
    </w:p>
    <w:p>
      <w:pPr>
        <w:pStyle w:val="ListParagraph"/>
        <w:numPr>
          <w:ilvl w:val="0"/>
          <w:numId w:val="4"/>
        </w:numPr>
        <w:tabs>
          <w:tab w:pos="1468" w:val="left" w:leader="none"/>
        </w:tabs>
        <w:spacing w:line="240" w:lineRule="auto" w:before="214" w:after="0"/>
        <w:ind w:left="1468" w:right="0" w:hanging="481"/>
        <w:jc w:val="left"/>
        <w:rPr>
          <w:sz w:val="32"/>
        </w:rPr>
      </w:pPr>
      <w:r>
        <w:rPr>
          <w:w w:val="95"/>
          <w:sz w:val="32"/>
        </w:rPr>
        <w:t>仪器仪表；</w:t>
      </w:r>
    </w:p>
    <w:p>
      <w:pPr>
        <w:pStyle w:val="ListParagraph"/>
        <w:numPr>
          <w:ilvl w:val="0"/>
          <w:numId w:val="4"/>
        </w:numPr>
        <w:tabs>
          <w:tab w:pos="1468" w:val="left" w:leader="none"/>
        </w:tabs>
        <w:spacing w:line="240" w:lineRule="auto" w:before="214" w:after="0"/>
        <w:ind w:left="1468" w:right="0" w:hanging="481"/>
        <w:jc w:val="left"/>
        <w:rPr>
          <w:sz w:val="32"/>
        </w:rPr>
      </w:pPr>
      <w:r>
        <w:rPr>
          <w:w w:val="95"/>
          <w:sz w:val="32"/>
        </w:rPr>
        <w:t>机电设备；</w:t>
      </w:r>
    </w:p>
    <w:p>
      <w:pPr>
        <w:pStyle w:val="ListParagraph"/>
        <w:numPr>
          <w:ilvl w:val="0"/>
          <w:numId w:val="4"/>
        </w:numPr>
        <w:tabs>
          <w:tab w:pos="1468" w:val="left" w:leader="none"/>
        </w:tabs>
        <w:spacing w:line="240" w:lineRule="auto" w:before="214" w:after="0"/>
        <w:ind w:left="1468" w:right="0" w:hanging="481"/>
        <w:jc w:val="left"/>
        <w:rPr>
          <w:sz w:val="32"/>
        </w:rPr>
      </w:pPr>
      <w:r>
        <w:rPr>
          <w:w w:val="95"/>
          <w:sz w:val="32"/>
        </w:rPr>
        <w:t>电子设备；</w:t>
      </w:r>
    </w:p>
    <w:p>
      <w:pPr>
        <w:pStyle w:val="ListParagraph"/>
        <w:numPr>
          <w:ilvl w:val="0"/>
          <w:numId w:val="4"/>
        </w:numPr>
        <w:tabs>
          <w:tab w:pos="1468" w:val="left" w:leader="none"/>
        </w:tabs>
        <w:spacing w:line="240" w:lineRule="auto" w:before="214" w:after="0"/>
        <w:ind w:left="1468" w:right="0" w:hanging="481"/>
        <w:jc w:val="left"/>
        <w:rPr>
          <w:sz w:val="32"/>
        </w:rPr>
      </w:pPr>
      <w:r>
        <w:rPr>
          <w:w w:val="95"/>
          <w:sz w:val="32"/>
        </w:rPr>
        <w:t>印刷设备；</w:t>
      </w:r>
    </w:p>
    <w:p>
      <w:pPr>
        <w:pStyle w:val="ListParagraph"/>
        <w:numPr>
          <w:ilvl w:val="0"/>
          <w:numId w:val="4"/>
        </w:numPr>
        <w:tabs>
          <w:tab w:pos="1468" w:val="left" w:leader="none"/>
        </w:tabs>
        <w:spacing w:line="240" w:lineRule="auto" w:before="214" w:after="0"/>
        <w:ind w:left="1468" w:right="0" w:hanging="481"/>
        <w:jc w:val="left"/>
        <w:rPr>
          <w:sz w:val="32"/>
        </w:rPr>
      </w:pPr>
      <w:r>
        <w:rPr>
          <w:sz w:val="32"/>
        </w:rPr>
        <w:t>卫生医疗设备；</w:t>
      </w:r>
    </w:p>
    <w:p>
      <w:pPr>
        <w:pStyle w:val="ListParagraph"/>
        <w:numPr>
          <w:ilvl w:val="0"/>
          <w:numId w:val="4"/>
        </w:numPr>
        <w:tabs>
          <w:tab w:pos="1468" w:val="left" w:leader="none"/>
        </w:tabs>
        <w:spacing w:line="240" w:lineRule="auto" w:before="214" w:after="0"/>
        <w:ind w:left="1468" w:right="0" w:hanging="481"/>
        <w:jc w:val="left"/>
        <w:rPr>
          <w:sz w:val="32"/>
        </w:rPr>
      </w:pPr>
      <w:r>
        <w:rPr>
          <w:w w:val="95"/>
          <w:sz w:val="32"/>
        </w:rPr>
        <w:t>文体设备；</w:t>
      </w:r>
    </w:p>
    <w:p>
      <w:pPr>
        <w:pStyle w:val="ListParagraph"/>
        <w:numPr>
          <w:ilvl w:val="0"/>
          <w:numId w:val="4"/>
        </w:numPr>
        <w:tabs>
          <w:tab w:pos="1468" w:val="left" w:leader="none"/>
        </w:tabs>
        <w:spacing w:line="240" w:lineRule="auto" w:before="214" w:after="0"/>
        <w:ind w:left="1468" w:right="0" w:hanging="481"/>
        <w:jc w:val="left"/>
        <w:rPr>
          <w:sz w:val="32"/>
        </w:rPr>
      </w:pPr>
      <w:r>
        <w:rPr>
          <w:w w:val="95"/>
          <w:sz w:val="32"/>
        </w:rPr>
        <w:t>标本模型；</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文物及陈列品；</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图书；</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工具、量具和器皿；</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家具；</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行政办公设备；</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被服装具；</w:t>
      </w:r>
    </w:p>
    <w:p>
      <w:pPr>
        <w:pStyle w:val="ListParagraph"/>
        <w:numPr>
          <w:ilvl w:val="0"/>
          <w:numId w:val="4"/>
        </w:numPr>
        <w:tabs>
          <w:tab w:pos="1627" w:val="left" w:leader="none"/>
        </w:tabs>
        <w:spacing w:line="240" w:lineRule="auto" w:before="214" w:after="0"/>
        <w:ind w:left="1626" w:right="0" w:hanging="640"/>
        <w:jc w:val="left"/>
        <w:rPr>
          <w:sz w:val="32"/>
        </w:rPr>
      </w:pPr>
      <w:r>
        <w:rPr>
          <w:sz w:val="32"/>
        </w:rPr>
        <w:t>牲畜。</w:t>
      </w:r>
    </w:p>
    <w:p>
      <w:pPr>
        <w:spacing w:before="214"/>
        <w:ind w:left="987" w:right="0" w:firstLine="0"/>
        <w:jc w:val="left"/>
        <w:rPr>
          <w:sz w:val="32"/>
        </w:rPr>
      </w:pPr>
      <w:r>
        <w:rPr>
          <w:b/>
          <w:sz w:val="32"/>
        </w:rPr>
        <w:t>第十一条 </w:t>
      </w:r>
      <w:r>
        <w:rPr>
          <w:sz w:val="32"/>
        </w:rPr>
        <w:t>固定资产的计价</w:t>
      </w:r>
    </w:p>
    <w:p>
      <w:pPr>
        <w:spacing w:after="0"/>
        <w:jc w:val="left"/>
        <w:rPr>
          <w:sz w:val="32"/>
        </w:rPr>
        <w:sectPr>
          <w:footerReference w:type="default" r:id="rId7"/>
          <w:footerReference w:type="even" r:id="rId8"/>
          <w:pgSz w:w="11910" w:h="16840"/>
          <w:pgMar w:footer="2131" w:header="0" w:top="1580" w:bottom="2320" w:left="1240" w:right="1040"/>
          <w:pgNumType w:start="7"/>
        </w:sectPr>
      </w:pPr>
    </w:p>
    <w:p>
      <w:pPr>
        <w:pStyle w:val="BodyText"/>
        <w:rPr>
          <w:sz w:val="20"/>
        </w:rPr>
      </w:pPr>
    </w:p>
    <w:p>
      <w:pPr>
        <w:pStyle w:val="BodyText"/>
        <w:spacing w:before="2"/>
        <w:rPr>
          <w:sz w:val="23"/>
        </w:rPr>
      </w:pPr>
    </w:p>
    <w:p>
      <w:pPr>
        <w:pStyle w:val="BodyText"/>
        <w:spacing w:line="364" w:lineRule="auto" w:before="55"/>
        <w:ind w:left="346" w:right="318" w:firstLine="640"/>
      </w:pPr>
      <w:r>
        <w:rPr/>
        <w:t>（一</w:t>
      </w:r>
      <w:r>
        <w:rPr>
          <w:spacing w:val="-39"/>
        </w:rPr>
        <w:t>）</w:t>
      </w:r>
      <w:r>
        <w:rPr>
          <w:spacing w:val="-9"/>
        </w:rPr>
        <w:t>新购入、调入的固定资产，按照实际支付的价款以及</w:t>
      </w:r>
      <w:r>
        <w:rPr>
          <w:spacing w:val="-14"/>
        </w:rPr>
        <w:t>为使固定资产达到预期工作状态所支付的包装费、运输费、安装费及附加费等计账；自行建造的设备及已竣工的房屋及构筑物， 按照建造所用全部支出计账；</w:t>
      </w:r>
    </w:p>
    <w:p>
      <w:pPr>
        <w:pStyle w:val="BodyText"/>
        <w:spacing w:line="364" w:lineRule="auto" w:before="3"/>
        <w:ind w:left="346" w:right="274" w:firstLine="640"/>
      </w:pPr>
      <w:r>
        <w:rPr/>
        <w:t>（二</w:t>
      </w:r>
      <w:r>
        <w:rPr>
          <w:spacing w:val="-139"/>
        </w:rPr>
        <w:t>）</w:t>
      </w:r>
      <w:r>
        <w:rPr>
          <w:spacing w:val="-11"/>
        </w:rPr>
        <w:t>在原有固定资产基础上改建、扩建和增建的固定资产， </w:t>
      </w:r>
      <w:r>
        <w:rPr>
          <w:spacing w:val="-14"/>
        </w:rPr>
        <w:t>应按改建、扩建和增建所发生的支出减去改建、扩建和增建过程中的固定资产变价收入后的净增加值，增记固定资产账；</w:t>
      </w:r>
    </w:p>
    <w:p>
      <w:pPr>
        <w:pStyle w:val="BodyText"/>
        <w:spacing w:line="364" w:lineRule="auto" w:before="2"/>
        <w:ind w:left="346" w:right="431" w:firstLine="640"/>
      </w:pPr>
      <w:r>
        <w:rPr/>
        <w:t>（三</w:t>
      </w:r>
      <w:r>
        <w:rPr>
          <w:spacing w:val="-39"/>
        </w:rPr>
        <w:t>）</w:t>
      </w:r>
      <w:r>
        <w:rPr>
          <w:spacing w:val="-6"/>
        </w:rPr>
        <w:t>图书资料等固定资产，按合同实际支付计价；没有标价的赠书参照同类书的购买价格估价入账；</w:t>
      </w:r>
    </w:p>
    <w:p>
      <w:pPr>
        <w:pStyle w:val="BodyText"/>
        <w:spacing w:line="364" w:lineRule="auto" w:before="2"/>
        <w:ind w:left="346" w:right="274" w:firstLine="640"/>
      </w:pPr>
      <w:r>
        <w:rPr/>
        <w:t>（四</w:t>
      </w:r>
      <w:r>
        <w:rPr>
          <w:spacing w:val="-139"/>
        </w:rPr>
        <w:t>）</w:t>
      </w:r>
      <w:r>
        <w:rPr>
          <w:spacing w:val="-13"/>
        </w:rPr>
        <w:t>应用软件，如果其构成相关硬件不可缺少的组成部分， </w:t>
      </w:r>
      <w:r>
        <w:rPr>
          <w:spacing w:val="-19"/>
        </w:rPr>
        <w:t>应当将该软件价值包括在所属硬件价值中，一并作为固定资产进</w:t>
      </w:r>
      <w:r>
        <w:rPr>
          <w:spacing w:val="-14"/>
        </w:rPr>
        <w:t>行核算；如果其不构成相关硬件不可缺少的组成部分，应当将该软件作为无形资产核算；网络数据库、光盘数据库等电子资料， 按实际购入成本计价；</w:t>
      </w:r>
    </w:p>
    <w:p>
      <w:pPr>
        <w:pStyle w:val="BodyText"/>
        <w:spacing w:line="364" w:lineRule="auto" w:before="4"/>
        <w:ind w:left="346" w:right="431" w:firstLine="640"/>
        <w:jc w:val="both"/>
      </w:pPr>
      <w:r>
        <w:rPr/>
        <w:t>（五</w:t>
      </w:r>
      <w:r>
        <w:rPr>
          <w:spacing w:val="-58"/>
        </w:rPr>
        <w:t>）</w:t>
      </w:r>
      <w:r>
        <w:rPr>
          <w:spacing w:val="-6"/>
        </w:rPr>
        <w:t>接受捐赠的固定资产，以捐赠方所提供的原始单据作</w:t>
      </w:r>
      <w:r>
        <w:rPr>
          <w:spacing w:val="-13"/>
        </w:rPr>
        <w:t>为入账依据，或以捐赠合同内的合同价入账；如未签订捐赠协议的，可以签订补充捐赠确定书、议价会议记录，以此作为入账依</w:t>
      </w:r>
      <w:r>
        <w:rPr>
          <w:spacing w:val="-11"/>
        </w:rPr>
        <w:t>据；如以上手续均无的话，以经过评估</w:t>
      </w:r>
      <w:hyperlink r:id="rId9">
        <w:r>
          <w:rPr/>
          <w:t>的价值</w:t>
        </w:r>
      </w:hyperlink>
      <w:r>
        <w:rPr>
          <w:spacing w:val="-6"/>
        </w:rPr>
        <w:t>作为入账依据；接受捐赠固定资产时发生的相关费用一并计入固定资产价值；</w:t>
      </w:r>
    </w:p>
    <w:p>
      <w:pPr>
        <w:pStyle w:val="BodyText"/>
        <w:spacing w:before="4"/>
        <w:ind w:left="987"/>
      </w:pPr>
      <w:r>
        <w:rPr/>
        <w:t>（六）无偿调入固定资产，按原值或评估价值入账；</w:t>
      </w:r>
    </w:p>
    <w:p>
      <w:pPr>
        <w:spacing w:after="0"/>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987"/>
      </w:pPr>
      <w:r>
        <w:rPr>
          <w:w w:val="95"/>
        </w:rPr>
        <w:t>（七）盘盈的固定资产，按原值或评估价值入账；</w:t>
      </w:r>
    </w:p>
    <w:p>
      <w:pPr>
        <w:pStyle w:val="BodyText"/>
        <w:spacing w:before="214"/>
        <w:ind w:left="987"/>
      </w:pPr>
      <w:r>
        <w:rPr>
          <w:w w:val="95"/>
        </w:rPr>
        <w:t>（八）交换的固定资产，按原值或评估价值入账；</w:t>
      </w:r>
    </w:p>
    <w:p>
      <w:pPr>
        <w:pStyle w:val="BodyText"/>
        <w:spacing w:line="364" w:lineRule="auto" w:before="214"/>
        <w:ind w:left="346" w:right="431" w:firstLine="640"/>
      </w:pPr>
      <w:r>
        <w:rPr/>
        <w:t>（九</w:t>
      </w:r>
      <w:r>
        <w:rPr>
          <w:spacing w:val="-58"/>
        </w:rPr>
        <w:t>）</w:t>
      </w:r>
      <w:r>
        <w:rPr>
          <w:spacing w:val="-3"/>
        </w:rPr>
        <w:t>已投入使用但尚未办理交接手续的固定资产，可先按评估价入账，待确定实际价值后，再进行调整；</w:t>
      </w:r>
    </w:p>
    <w:p>
      <w:pPr>
        <w:pStyle w:val="BodyText"/>
        <w:spacing w:line="364" w:lineRule="auto" w:before="1"/>
        <w:ind w:left="346" w:right="431" w:firstLine="640"/>
        <w:jc w:val="both"/>
      </w:pPr>
      <w:r>
        <w:rPr/>
        <w:t>（十</w:t>
      </w:r>
      <w:r>
        <w:rPr>
          <w:spacing w:val="-39"/>
        </w:rPr>
        <w:t>）</w:t>
      </w:r>
      <w:r>
        <w:rPr>
          <w:spacing w:val="-7"/>
        </w:rPr>
        <w:t>用外币进口的设备，按当时的汇率折合成人民币，加</w:t>
      </w:r>
      <w:r>
        <w:rPr>
          <w:spacing w:val="2"/>
          <w:w w:val="99"/>
        </w:rPr>
        <w:t>上国外部分的运费及其它费用（外币应折合成人民币</w:t>
      </w:r>
      <w:r>
        <w:rPr>
          <w:spacing w:val="-159"/>
          <w:w w:val="99"/>
        </w:rPr>
        <w:t>）</w:t>
      </w:r>
      <w:r>
        <w:rPr>
          <w:spacing w:val="1"/>
          <w:w w:val="99"/>
        </w:rPr>
        <w:t>，再加上</w:t>
      </w:r>
      <w:r>
        <w:rPr>
          <w:spacing w:val="1"/>
        </w:rPr>
        <w:t>支付的关税、海关手续费等计价入账；</w:t>
      </w:r>
    </w:p>
    <w:p>
      <w:pPr>
        <w:pStyle w:val="BodyText"/>
        <w:spacing w:line="364" w:lineRule="auto" w:before="3"/>
        <w:ind w:left="346" w:right="274" w:firstLine="640"/>
      </w:pPr>
      <w:r>
        <w:rPr>
          <w:w w:val="95"/>
        </w:rPr>
        <w:t>（十一</w:t>
      </w:r>
      <w:r>
        <w:rPr>
          <w:spacing w:val="-137"/>
          <w:w w:val="95"/>
        </w:rPr>
        <w:t>）</w:t>
      </w:r>
      <w:r>
        <w:rPr>
          <w:spacing w:val="-12"/>
          <w:w w:val="95"/>
        </w:rPr>
        <w:t>融资租入的固定资产，按租赁协议确定的设备价款、 </w:t>
      </w:r>
      <w:r>
        <w:rPr>
          <w:spacing w:val="-12"/>
        </w:rPr>
        <w:t>运杂费、安装费等记账；</w:t>
      </w:r>
    </w:p>
    <w:p>
      <w:pPr>
        <w:pStyle w:val="BodyText"/>
        <w:spacing w:line="364" w:lineRule="auto" w:before="1"/>
        <w:ind w:left="346" w:right="431" w:firstLine="640"/>
      </w:pPr>
      <w:r>
        <w:rPr/>
        <w:t>（十二</w:t>
      </w:r>
      <w:r>
        <w:rPr>
          <w:spacing w:val="-58"/>
        </w:rPr>
        <w:t>）</w:t>
      </w:r>
      <w:r>
        <w:rPr>
          <w:spacing w:val="-4"/>
        </w:rPr>
        <w:t>购置固定资产过程中发生的差旅费，不计入固定资产价值；</w:t>
      </w:r>
    </w:p>
    <w:p>
      <w:pPr>
        <w:pStyle w:val="BodyText"/>
        <w:spacing w:line="364" w:lineRule="auto" w:before="2"/>
        <w:ind w:left="346" w:right="431" w:firstLine="640"/>
        <w:jc w:val="both"/>
      </w:pPr>
      <w:r>
        <w:rPr/>
        <w:pict>
          <v:shape style="position:absolute;margin-left:70.349998pt;margin-top:-277.989990pt;width:.1pt;height:62.4pt;mso-position-horizontal-relative:page;mso-position-vertical-relative:paragraph;z-index:251669504" coordorigin="1407,-5560" coordsize="0,1248" path="m1407,3014l1407,3638m1407,3638l1407,4262e" filled="false" stroked="true" strokeweight=".45617pt" strokecolor="#000000">
            <v:path arrowok="t"/>
            <v:stroke dashstyle="solid"/>
            <w10:wrap type="none"/>
          </v:shape>
        </w:pict>
      </w:r>
      <w:r>
        <w:rPr>
          <w:w w:val="95"/>
        </w:rPr>
        <w:t>（十三</w:t>
      </w:r>
      <w:r>
        <w:rPr>
          <w:spacing w:val="-29"/>
          <w:w w:val="95"/>
        </w:rPr>
        <w:t>）</w:t>
      </w:r>
      <w:r>
        <w:rPr>
          <w:spacing w:val="-10"/>
          <w:w w:val="95"/>
        </w:rPr>
        <w:t>接受捐赠、无偿调入、盘盈、交换等固定资产的价 </w:t>
      </w:r>
      <w:r>
        <w:rPr>
          <w:spacing w:val="-17"/>
        </w:rPr>
        <w:t>值评估由资产使用部门填写《固定资产价值评估表》、学院评估</w:t>
      </w:r>
      <w:r>
        <w:rPr>
          <w:spacing w:val="-15"/>
        </w:rPr>
        <w:t>评审库成员、财务审计员和使用部门两人以上的专业专家组成的</w:t>
      </w:r>
      <w:r>
        <w:rPr>
          <w:spacing w:val="-17"/>
        </w:rPr>
        <w:t>评估小组进行资产评估、资产管理部门和财务审计处审核、主管资产和财务的院领导同意后，再计入固定资产账。</w:t>
      </w:r>
    </w:p>
    <w:p>
      <w:pPr>
        <w:pStyle w:val="BodyText"/>
        <w:spacing w:line="364" w:lineRule="auto" w:before="4"/>
        <w:ind w:left="346" w:right="433" w:firstLine="640"/>
        <w:jc w:val="both"/>
      </w:pPr>
      <w:r>
        <w:rPr>
          <w:b/>
        </w:rPr>
        <w:t>第十二条 </w:t>
      </w:r>
      <w:r>
        <w:rPr/>
        <w:t>已入账的固定资产，除发生下列情况外，不得随意变动固定资产账面价值。</w:t>
      </w:r>
    </w:p>
    <w:p>
      <w:pPr>
        <w:pStyle w:val="BodyText"/>
        <w:spacing w:before="1"/>
        <w:ind w:left="987"/>
      </w:pPr>
      <w:r>
        <w:rPr/>
        <w:t>（一）根据国家规定对固定资产价值重新估价；</w:t>
      </w:r>
    </w:p>
    <w:p>
      <w:pPr>
        <w:pStyle w:val="BodyText"/>
        <w:spacing w:before="214"/>
        <w:ind w:left="987"/>
      </w:pPr>
      <w:r>
        <w:rPr/>
        <w:pict>
          <v:line style="position:absolute;mso-position-horizontal-relative:page;mso-position-vertical-relative:paragraph;z-index:-252488704" from="159.350006pt,22.909998pt" to="167.400006pt,22.909998pt" stroked="true" strokeweight=".72pt" strokecolor="#ff0101">
            <v:stroke dashstyle="solid"/>
            <w10:wrap type="none"/>
          </v:line>
        </w:pict>
      </w:r>
      <w:r>
        <w:rPr/>
        <w:t>（二） 增加、补充、改良或拆除部分固定资产；</w:t>
      </w:r>
    </w:p>
    <w:p>
      <w:pPr>
        <w:spacing w:after="0"/>
        <w:sectPr>
          <w:pgSz w:w="11910" w:h="16840"/>
          <w:pgMar w:header="0" w:footer="2131" w:top="1580" w:bottom="2320" w:left="1240" w:right="1040"/>
        </w:sectPr>
      </w:pPr>
    </w:p>
    <w:p>
      <w:pPr>
        <w:pStyle w:val="BodyText"/>
        <w:rPr>
          <w:sz w:val="20"/>
        </w:rPr>
      </w:pPr>
    </w:p>
    <w:p>
      <w:pPr>
        <w:pStyle w:val="BodyText"/>
        <w:spacing w:before="2"/>
        <w:rPr>
          <w:sz w:val="23"/>
        </w:rPr>
      </w:pPr>
    </w:p>
    <w:p>
      <w:pPr>
        <w:pStyle w:val="BodyText"/>
        <w:spacing w:before="55"/>
        <w:ind w:left="987"/>
      </w:pPr>
      <w:r>
        <w:rPr/>
        <w:pict>
          <v:line style="position:absolute;mso-position-horizontal-relative:page;mso-position-vertical-relative:paragraph;z-index:-252487680" from="159.350006pt,14.959986pt" to="167.400006pt,14.959986pt" stroked="true" strokeweight=".72pt" strokecolor="#ff0101">
            <v:stroke dashstyle="solid"/>
            <w10:wrap type="none"/>
          </v:line>
        </w:pict>
      </w:r>
      <w:r>
        <w:rPr/>
        <w:pict>
          <v:shape style="position:absolute;margin-left:530.599976pt;margin-top:567.059998pt;width:.1pt;height:62.4pt;mso-position-horizontal-relative:page;mso-position-vertical-relative:paragraph;z-index:251672576" coordorigin="10612,11341" coordsize="0,1248" path="m10612,-53l10612,571m10612,571l10612,1195e" filled="false" stroked="true" strokeweight="0pt" strokecolor="#000000">
            <v:path arrowok="t"/>
            <v:stroke dashstyle="solid"/>
            <w10:wrap type="none"/>
          </v:shape>
        </w:pict>
      </w:r>
      <w:r>
        <w:rPr/>
        <w:t>（三） 根据实际价值调整原来的暂估价值；</w:t>
      </w:r>
    </w:p>
    <w:p>
      <w:pPr>
        <w:pStyle w:val="BodyText"/>
        <w:spacing w:before="214"/>
        <w:ind w:left="987"/>
      </w:pPr>
      <w:r>
        <w:rPr/>
        <w:pict>
          <v:line style="position:absolute;mso-position-horizontal-relative:page;mso-position-vertical-relative:paragraph;z-index:-252485632" from="159.350006pt,22.909973pt" to="167.400006pt,22.909973pt" stroked="true" strokeweight=".72pt" strokecolor="#ff0101">
            <v:stroke dashstyle="solid"/>
            <w10:wrap type="none"/>
          </v:line>
        </w:pict>
      </w:r>
      <w:r>
        <w:rPr/>
        <w:t>（四） 原来固定资产价值记录有误。</w:t>
      </w:r>
    </w:p>
    <w:p>
      <w:pPr>
        <w:pStyle w:val="BodyText"/>
        <w:spacing w:line="364" w:lineRule="auto" w:before="214"/>
        <w:ind w:left="346" w:right="433" w:firstLine="640"/>
      </w:pPr>
      <w:r>
        <w:rPr/>
        <w:pict>
          <v:line style="position:absolute;mso-position-horizontal-relative:page;mso-position-vertical-relative:paragraph;z-index:251674624" from="530.599976pt,67.710022pt" to="530.599976pt,98.910022pt" stroked="true" strokeweight=".45617pt" strokecolor="#000000">
            <v:stroke dashstyle="solid"/>
            <w10:wrap type="none"/>
          </v:line>
        </w:pict>
      </w:r>
      <w:r>
        <w:rPr>
          <w:b/>
        </w:rPr>
        <w:t>第十三条 </w:t>
      </w:r>
      <w:r>
        <w:rPr/>
        <w:t>固定资产的价值变动，由资产管理部门和财务审计处负责办理，并对固定资产有关账目作相应调整。</w:t>
      </w:r>
    </w:p>
    <w:p>
      <w:pPr>
        <w:spacing w:before="1"/>
        <w:ind w:left="987" w:right="0" w:firstLine="0"/>
        <w:jc w:val="left"/>
        <w:rPr>
          <w:sz w:val="32"/>
        </w:rPr>
      </w:pPr>
      <w:r>
        <w:rPr>
          <w:b/>
          <w:sz w:val="32"/>
        </w:rPr>
        <w:t>第十四条 </w:t>
      </w:r>
      <w:r>
        <w:rPr>
          <w:sz w:val="32"/>
        </w:rPr>
        <w:t>资产合理使用年限</w:t>
      </w:r>
    </w:p>
    <w:p>
      <w:pPr>
        <w:pStyle w:val="BodyText"/>
        <w:spacing w:line="364" w:lineRule="auto" w:before="214"/>
        <w:ind w:left="346" w:right="274" w:firstLine="640"/>
      </w:pPr>
      <w:r>
        <w:rPr>
          <w:spacing w:val="-39"/>
        </w:rPr>
        <w:t>建</w:t>
      </w:r>
      <w:r>
        <w:rPr/>
        <w:t>（构</w:t>
      </w:r>
      <w:r>
        <w:rPr>
          <w:spacing w:val="-39"/>
        </w:rPr>
        <w:t>）</w:t>
      </w:r>
      <w:r>
        <w:rPr>
          <w:spacing w:val="-3"/>
        </w:rPr>
        <w:t>筑物使用年限为结构设计所规定的年限，钢结构和</w:t>
      </w:r>
      <w:r>
        <w:rPr>
          <w:spacing w:val="2"/>
        </w:rPr>
        <w:t>钢筋混凝土结构不低于</w:t>
      </w:r>
      <w:r>
        <w:rPr/>
        <w:t>50</w:t>
      </w:r>
      <w:r>
        <w:rPr>
          <w:spacing w:val="-18"/>
        </w:rPr>
        <w:t> 年，砖混结构和砖木结构不低于</w:t>
      </w:r>
      <w:r>
        <w:rPr/>
        <w:t>30</w:t>
      </w:r>
      <w:r>
        <w:rPr>
          <w:spacing w:val="-39"/>
        </w:rPr>
        <w:t> 年，</w:t>
      </w:r>
    </w:p>
    <w:p>
      <w:pPr>
        <w:pStyle w:val="BodyText"/>
        <w:spacing w:before="2"/>
        <w:ind w:left="346"/>
      </w:pPr>
      <w:r>
        <w:rPr>
          <w:spacing w:val="-11"/>
        </w:rPr>
        <w:t>简易房、房屋附属设施和构筑物不低于 </w:t>
      </w:r>
      <w:r>
        <w:rPr/>
        <w:t>8</w:t>
      </w:r>
      <w:r>
        <w:rPr>
          <w:spacing w:val="-17"/>
        </w:rPr>
        <w:t> 年；计算机设备、办公</w:t>
      </w:r>
    </w:p>
    <w:p>
      <w:pPr>
        <w:pStyle w:val="BodyText"/>
        <w:spacing w:before="214"/>
        <w:ind w:left="346"/>
      </w:pPr>
      <w:r>
        <w:rPr>
          <w:spacing w:val="-13"/>
        </w:rPr>
        <w:t>设备不低于 </w:t>
      </w:r>
      <w:r>
        <w:rPr/>
        <w:t>6</w:t>
      </w:r>
      <w:r>
        <w:rPr>
          <w:spacing w:val="-18"/>
        </w:rPr>
        <w:t> 年；车辆不低于 </w:t>
      </w:r>
      <w:r>
        <w:rPr/>
        <w:t>8</w:t>
      </w:r>
      <w:r>
        <w:rPr>
          <w:spacing w:val="-16"/>
        </w:rPr>
        <w:t> 年；机械设备不低于 </w:t>
      </w:r>
      <w:r>
        <w:rPr/>
        <w:t>10</w:t>
      </w:r>
      <w:r>
        <w:rPr>
          <w:spacing w:val="-20"/>
        </w:rPr>
        <w:t> 年；仪</w:t>
      </w:r>
    </w:p>
    <w:p>
      <w:pPr>
        <w:pStyle w:val="BodyText"/>
        <w:spacing w:before="214"/>
        <w:ind w:left="346"/>
      </w:pPr>
      <w:r>
        <w:rPr>
          <w:spacing w:val="-12"/>
        </w:rPr>
        <w:t>器仪表、电气设备等不低于 </w:t>
      </w:r>
      <w:r>
        <w:rPr/>
        <w:t>5</w:t>
      </w:r>
      <w:r>
        <w:rPr>
          <w:spacing w:val="-21"/>
        </w:rPr>
        <w:t> 年；文体设备不低于 </w:t>
      </w:r>
      <w:r>
        <w:rPr/>
        <w:t>5</w:t>
      </w:r>
      <w:r>
        <w:rPr>
          <w:spacing w:val="-21"/>
        </w:rPr>
        <w:t> 年；家具不</w:t>
      </w:r>
    </w:p>
    <w:p>
      <w:pPr>
        <w:pStyle w:val="BodyText"/>
        <w:spacing w:line="364" w:lineRule="auto" w:before="214"/>
        <w:ind w:left="346" w:right="431"/>
      </w:pPr>
      <w:r>
        <w:rPr>
          <w:spacing w:val="-28"/>
        </w:rPr>
        <w:t>低于 </w:t>
      </w:r>
      <w:r>
        <w:rPr/>
        <w:t>15</w:t>
      </w:r>
      <w:r>
        <w:rPr>
          <w:spacing w:val="-27"/>
        </w:rPr>
        <w:t> 年；空调不低于 </w:t>
      </w:r>
      <w:r>
        <w:rPr/>
        <w:t>10</w:t>
      </w:r>
      <w:r>
        <w:rPr>
          <w:spacing w:val="-13"/>
        </w:rPr>
        <w:t> 年；其余固定资产的合理使用年限参照国家有关法律法规执行。未达到最低使用年限的不得报废。</w:t>
      </w:r>
    </w:p>
    <w:p>
      <w:pPr>
        <w:pStyle w:val="BodyText"/>
        <w:tabs>
          <w:tab w:pos="1259" w:val="left" w:leader="none"/>
        </w:tabs>
        <w:spacing w:before="157"/>
        <w:ind w:right="87"/>
        <w:jc w:val="center"/>
        <w:rPr>
          <w:rFonts w:ascii="黑体" w:eastAsia="黑体" w:hint="eastAsia"/>
        </w:rPr>
      </w:pPr>
      <w:r>
        <w:rPr>
          <w:rFonts w:ascii="黑体" w:eastAsia="黑体" w:hint="eastAsia"/>
        </w:rPr>
        <w:t>第四章</w:t>
        <w:tab/>
        <w:t>固定资产的固定资产增加</w:t>
      </w:r>
    </w:p>
    <w:p>
      <w:pPr>
        <w:pStyle w:val="BodyText"/>
        <w:spacing w:before="11"/>
        <w:rPr>
          <w:rFonts w:ascii="黑体"/>
          <w:sz w:val="28"/>
        </w:rPr>
      </w:pPr>
    </w:p>
    <w:p>
      <w:pPr>
        <w:pStyle w:val="BodyText"/>
        <w:spacing w:line="364" w:lineRule="auto" w:before="1"/>
        <w:ind w:left="346" w:right="274" w:firstLine="640"/>
        <w:jc w:val="both"/>
      </w:pPr>
      <w:r>
        <w:rPr>
          <w:b/>
          <w:spacing w:val="-3"/>
        </w:rPr>
        <w:t>第十五条 </w:t>
      </w:r>
      <w:r>
        <w:rPr>
          <w:spacing w:val="-8"/>
        </w:rPr>
        <w:t>固定资产增加主要是指购置、建造、改良、受赠、调拨和划转等活动所引起的固定资产数量和价值量的增加。</w:t>
      </w:r>
    </w:p>
    <w:p>
      <w:pPr>
        <w:pStyle w:val="BodyText"/>
        <w:spacing w:line="364" w:lineRule="auto" w:before="1"/>
        <w:ind w:left="346" w:right="274" w:firstLine="640"/>
        <w:jc w:val="both"/>
      </w:pPr>
      <w:r>
        <w:rPr>
          <w:b/>
          <w:spacing w:val="-3"/>
        </w:rPr>
        <w:t>第十六条 </w:t>
      </w:r>
      <w:r>
        <w:rPr>
          <w:spacing w:val="-11"/>
        </w:rPr>
        <w:t>购建固定资产，要按学院的发展规模、专业设置、科研方向统筹规划，制订好建设计划。</w:t>
      </w:r>
    </w:p>
    <w:p>
      <w:pPr>
        <w:pStyle w:val="BodyText"/>
        <w:spacing w:line="364" w:lineRule="auto" w:before="2"/>
        <w:ind w:left="346" w:right="431" w:firstLine="640"/>
        <w:jc w:val="both"/>
      </w:pPr>
      <w:r>
        <w:rPr>
          <w:b/>
          <w:spacing w:val="4"/>
        </w:rPr>
        <w:t>第十七条 </w:t>
      </w:r>
      <w:r>
        <w:rPr/>
        <w:t>固定资产的购置，由使用单位根据本单位工作任</w:t>
      </w:r>
      <w:r>
        <w:rPr>
          <w:spacing w:val="-9"/>
        </w:rPr>
        <w:t>务及学院的经费预算，提出申购计划，经相关职能部门审核，报</w:t>
      </w:r>
      <w:r>
        <w:rPr>
          <w:spacing w:val="-13"/>
        </w:rPr>
        <w:t>院领导审批。购置重要设备要成立论证工作小组进行论证。经党</w:t>
      </w:r>
    </w:p>
    <w:p>
      <w:pPr>
        <w:spacing w:after="0" w:line="364" w:lineRule="auto"/>
        <w:jc w:val="both"/>
        <w:sectPr>
          <w:footerReference w:type="even" r:id="rId10"/>
          <w:footerReference w:type="default" r:id="rId11"/>
          <w:pgSz w:w="11910" w:h="16840"/>
          <w:pgMar w:footer="1487" w:header="0" w:top="1580" w:bottom="1680" w:left="1240" w:right="1040"/>
          <w:pgNumType w:start="10"/>
        </w:sectPr>
      </w:pPr>
    </w:p>
    <w:p>
      <w:pPr>
        <w:pStyle w:val="BodyText"/>
        <w:rPr>
          <w:sz w:val="20"/>
        </w:rPr>
      </w:pPr>
    </w:p>
    <w:p>
      <w:pPr>
        <w:pStyle w:val="BodyText"/>
        <w:spacing w:before="2"/>
        <w:rPr>
          <w:sz w:val="23"/>
        </w:rPr>
      </w:pPr>
    </w:p>
    <w:p>
      <w:pPr>
        <w:pStyle w:val="BodyText"/>
        <w:spacing w:line="364" w:lineRule="auto" w:before="55"/>
        <w:ind w:left="346" w:right="433"/>
      </w:pPr>
      <w:r>
        <w:rPr>
          <w:spacing w:val="-15"/>
        </w:rPr>
        <w:t>委会集体研究决策，形成决议，并于来年计划年度的 </w:t>
      </w:r>
      <w:r>
        <w:rPr/>
        <w:t>1</w:t>
      </w:r>
      <w:r>
        <w:rPr>
          <w:spacing w:val="-18"/>
        </w:rPr>
        <w:t> 月底前报上级主管部门审批。</w:t>
      </w:r>
    </w:p>
    <w:p>
      <w:pPr>
        <w:pStyle w:val="BodyText"/>
        <w:spacing w:line="364" w:lineRule="auto" w:before="1"/>
        <w:ind w:left="346" w:right="433" w:firstLine="640"/>
      </w:pPr>
      <w:r>
        <w:rPr>
          <w:b/>
        </w:rPr>
        <w:t>第十八条 </w:t>
      </w:r>
      <w:r>
        <w:rPr/>
        <w:t>经批准的固定资产购建计划，严格按照国家和学院有关规定实行招标与采购。</w:t>
      </w:r>
    </w:p>
    <w:p>
      <w:pPr>
        <w:pStyle w:val="BodyText"/>
        <w:spacing w:line="350" w:lineRule="auto" w:before="55"/>
        <w:ind w:left="346" w:right="112" w:firstLine="640"/>
      </w:pPr>
      <w:r>
        <w:rPr>
          <w:b/>
          <w:spacing w:val="7"/>
        </w:rPr>
        <w:t>第十九条 </w:t>
      </w:r>
      <w:r>
        <w:rPr/>
        <w:t>固定资产验收由使用部门提出验收申请，使用部</w:t>
      </w:r>
      <w:r>
        <w:rPr>
          <w:spacing w:val="-5"/>
        </w:rPr>
        <w:t>门牵头做好验收前准备工作并按合同约定进行验收，计划财务处、</w:t>
      </w:r>
      <w:r>
        <w:rPr>
          <w:spacing w:val="4"/>
        </w:rPr>
        <w:t>总务处及项目所在职能部门代表参与验收，</w:t>
      </w:r>
      <w:r>
        <w:rPr/>
        <w:t>30</w:t>
      </w:r>
      <w:r>
        <w:rPr>
          <w:spacing w:val="-7"/>
        </w:rPr>
        <w:t> 万元以上项目须</w:t>
      </w:r>
      <w:r>
        <w:rPr>
          <w:spacing w:val="-14"/>
        </w:rPr>
        <w:t>部门分管院领导参与验收并签字确认。验收中如发现采购项目存 </w:t>
      </w:r>
      <w:r>
        <w:rPr>
          <w:spacing w:val="-16"/>
        </w:rPr>
        <w:t>在质量等问题，由项目使用部门会同相关部门、采购招标办查明 原因，向供应商提出整改意见，并督促整改。</w:t>
      </w:r>
    </w:p>
    <w:p>
      <w:pPr>
        <w:pStyle w:val="BodyText"/>
      </w:pPr>
    </w:p>
    <w:p>
      <w:pPr>
        <w:pStyle w:val="BodyText"/>
        <w:spacing w:before="5"/>
        <w:rPr>
          <w:sz w:val="25"/>
        </w:rPr>
      </w:pPr>
    </w:p>
    <w:p>
      <w:pPr>
        <w:pStyle w:val="BodyText"/>
        <w:tabs>
          <w:tab w:pos="1259" w:val="left" w:leader="none"/>
        </w:tabs>
        <w:ind w:right="87"/>
        <w:jc w:val="center"/>
        <w:rPr>
          <w:rFonts w:ascii="黑体" w:eastAsia="黑体" w:hint="eastAsia"/>
        </w:rPr>
      </w:pPr>
      <w:r>
        <w:rPr>
          <w:rFonts w:ascii="黑体" w:eastAsia="黑体" w:hint="eastAsia"/>
        </w:rPr>
        <w:t>第五章</w:t>
        <w:tab/>
        <w:t>固定资产的保管使用与维护</w:t>
      </w:r>
    </w:p>
    <w:p>
      <w:pPr>
        <w:pStyle w:val="BodyText"/>
        <w:spacing w:before="11"/>
        <w:rPr>
          <w:rFonts w:ascii="黑体"/>
          <w:sz w:val="28"/>
        </w:rPr>
      </w:pPr>
    </w:p>
    <w:p>
      <w:pPr>
        <w:pStyle w:val="BodyText"/>
        <w:spacing w:line="364" w:lineRule="auto"/>
        <w:ind w:left="346" w:right="430" w:firstLine="640"/>
        <w:jc w:val="both"/>
      </w:pPr>
      <w:r>
        <w:rPr>
          <w:b/>
          <w:spacing w:val="4"/>
        </w:rPr>
        <w:t>第二十条 </w:t>
      </w:r>
      <w:r>
        <w:rPr/>
        <w:t>各使用单位要建立健全固定资产使用、保管和维</w:t>
      </w:r>
      <w:r>
        <w:rPr>
          <w:spacing w:val="-10"/>
        </w:rPr>
        <w:t>护制度。落实安全防护措施，做好防火、防盗、防爆、防潮、防</w:t>
      </w:r>
      <w:r>
        <w:rPr/>
        <w:t>尘、防锈、防蛀以及防范自然灾害等工作。</w:t>
      </w:r>
    </w:p>
    <w:p>
      <w:pPr>
        <w:pStyle w:val="BodyText"/>
        <w:spacing w:line="364" w:lineRule="auto" w:before="2"/>
        <w:ind w:left="346" w:right="431" w:firstLine="640"/>
        <w:jc w:val="both"/>
      </w:pPr>
      <w:r>
        <w:rPr>
          <w:b/>
          <w:spacing w:val="3"/>
        </w:rPr>
        <w:t>第二十一条 </w:t>
      </w:r>
      <w:r>
        <w:rPr/>
        <w:t>本着充分利用学院办学资源的原则，对于长期</w:t>
      </w:r>
      <w:r>
        <w:rPr>
          <w:spacing w:val="-12"/>
        </w:rPr>
        <w:t>闲置、低效运转、超标准配置、因技术落后淘汰但尚可使用的固定资产，资产管理部门有权根据各单位实际需要组织调剂。</w:t>
      </w:r>
    </w:p>
    <w:p>
      <w:pPr>
        <w:pStyle w:val="BodyText"/>
        <w:spacing w:line="364" w:lineRule="auto" w:before="3"/>
        <w:ind w:left="346" w:right="150" w:firstLine="640"/>
        <w:jc w:val="both"/>
      </w:pPr>
      <w:r>
        <w:rPr>
          <w:b/>
        </w:rPr>
        <w:t>第二十二条 </w:t>
      </w:r>
      <w:r>
        <w:rPr/>
        <w:t>各使用单位要建立健全固定资产登记审批制度， 加强对因工作需要配备给个人使用的固定资产的管理，严格履行</w:t>
      </w:r>
    </w:p>
    <w:p>
      <w:pPr>
        <w:spacing w:after="0" w:line="364" w:lineRule="auto"/>
        <w:jc w:val="both"/>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346"/>
      </w:pPr>
      <w:r>
        <w:rPr/>
        <w:t>领用和归还手续，确保其安全和完整。</w:t>
      </w:r>
    </w:p>
    <w:p>
      <w:pPr>
        <w:pStyle w:val="BodyText"/>
        <w:spacing w:line="364" w:lineRule="auto" w:before="214"/>
        <w:ind w:left="346" w:right="431" w:firstLine="640"/>
      </w:pPr>
      <w:r>
        <w:rPr>
          <w:b/>
        </w:rPr>
        <w:t>第二十三条 </w:t>
      </w:r>
      <w:r>
        <w:rPr/>
        <w:t>机构调整或人员异动，应及时办理固定资产交接手续。</w:t>
      </w:r>
    </w:p>
    <w:p>
      <w:pPr>
        <w:pStyle w:val="BodyText"/>
        <w:spacing w:line="364" w:lineRule="auto" w:before="1"/>
        <w:ind w:left="346" w:right="431" w:firstLine="640"/>
      </w:pPr>
      <w:r>
        <w:rPr/>
        <w:t>（一</w:t>
      </w:r>
      <w:r>
        <w:rPr>
          <w:spacing w:val="-58"/>
        </w:rPr>
        <w:t>）</w:t>
      </w:r>
      <w:r>
        <w:rPr>
          <w:spacing w:val="-8"/>
        </w:rPr>
        <w:t>机构调整时，由资产管理部门组织相关使用单位进行固定资产清查，使用单位领导签字后，办理交接手续；</w:t>
      </w:r>
    </w:p>
    <w:p>
      <w:pPr>
        <w:pStyle w:val="BodyText"/>
        <w:spacing w:line="364" w:lineRule="auto" w:before="2"/>
        <w:ind w:left="346" w:right="431" w:firstLine="640"/>
      </w:pPr>
      <w:r>
        <w:rPr/>
        <w:t>（二</w:t>
      </w:r>
      <w:r>
        <w:rPr>
          <w:spacing w:val="-58"/>
        </w:rPr>
        <w:t>）</w:t>
      </w:r>
      <w:r>
        <w:rPr>
          <w:spacing w:val="-4"/>
        </w:rPr>
        <w:t>各使用单位领导人员岗位发生异动的，由其原所在单位督促其办理资产交接手续；</w:t>
      </w:r>
    </w:p>
    <w:p>
      <w:pPr>
        <w:pStyle w:val="BodyText"/>
        <w:spacing w:line="364" w:lineRule="auto" w:before="1"/>
        <w:ind w:left="346" w:right="431" w:firstLine="640"/>
      </w:pPr>
      <w:r>
        <w:rPr/>
        <w:t>（三</w:t>
      </w:r>
      <w:r>
        <w:rPr>
          <w:spacing w:val="-58"/>
        </w:rPr>
        <w:t>）</w:t>
      </w:r>
      <w:r>
        <w:rPr>
          <w:spacing w:val="-5"/>
        </w:rPr>
        <w:t>资产管理员岗位变动时，由资产管理员原所在单位及资产管理部门有关人员督促办理交接手续；</w:t>
      </w:r>
    </w:p>
    <w:p>
      <w:pPr>
        <w:pStyle w:val="BodyText"/>
        <w:spacing w:line="364" w:lineRule="auto" w:before="2"/>
        <w:ind w:left="346" w:right="431" w:firstLine="640"/>
        <w:jc w:val="both"/>
      </w:pPr>
      <w:r>
        <w:rPr>
          <w:spacing w:val="2"/>
          <w:w w:val="99"/>
        </w:rPr>
        <w:t>（四）固定资产使用人员调离学院或退休</w:t>
      </w:r>
      <w:r>
        <w:rPr>
          <w:spacing w:val="5"/>
          <w:w w:val="99"/>
        </w:rPr>
        <w:t>（</w:t>
      </w:r>
      <w:r>
        <w:rPr>
          <w:spacing w:val="2"/>
          <w:w w:val="99"/>
        </w:rPr>
        <w:t>含离岗退养</w:t>
      </w:r>
      <w:r>
        <w:rPr>
          <w:spacing w:val="-159"/>
          <w:w w:val="99"/>
        </w:rPr>
        <w:t>）</w:t>
      </w:r>
      <w:r>
        <w:rPr>
          <w:w w:val="99"/>
        </w:rPr>
        <w:t>，</w:t>
      </w:r>
      <w:r>
        <w:rPr>
          <w:spacing w:val="-9"/>
        </w:rPr>
        <w:t>须交清所用固定资产，并经所在单位资产管理员、单位负责人及资产管理部门签字确认后，人事部门方予办理相关手续；</w:t>
      </w:r>
    </w:p>
    <w:p>
      <w:pPr>
        <w:pStyle w:val="BodyText"/>
        <w:spacing w:line="364" w:lineRule="auto" w:before="2"/>
        <w:ind w:left="346" w:right="431" w:firstLine="640"/>
        <w:jc w:val="both"/>
      </w:pPr>
      <w:r>
        <w:rPr/>
        <w:t>（五</w:t>
      </w:r>
      <w:r>
        <w:rPr>
          <w:spacing w:val="-58"/>
        </w:rPr>
        <w:t>）</w:t>
      </w:r>
      <w:r>
        <w:rPr>
          <w:spacing w:val="-3"/>
        </w:rPr>
        <w:t>经学院同意在学院内部工作岗位异动的人员，原则上</w:t>
      </w:r>
      <w:r>
        <w:rPr>
          <w:spacing w:val="-11"/>
        </w:rPr>
        <w:t>不随身携带在原部门使用的资产，任何部门和个人不得私自截留</w:t>
      </w:r>
      <w:r>
        <w:rPr>
          <w:spacing w:val="-13"/>
        </w:rPr>
        <w:t>和占用，因特殊情况需要带走资产的，须先办理资产交接手续再</w:t>
      </w:r>
      <w:r>
        <w:rPr>
          <w:spacing w:val="-14"/>
        </w:rPr>
        <w:t>异动岗位。所在单位资产管理员及主管领导有责任督促相关人员在规定时间内完成资产交接工作。</w:t>
      </w:r>
    </w:p>
    <w:p>
      <w:pPr>
        <w:pStyle w:val="BodyText"/>
        <w:spacing w:line="364" w:lineRule="auto" w:before="4"/>
        <w:ind w:left="346" w:right="433" w:firstLine="640"/>
        <w:jc w:val="both"/>
      </w:pPr>
      <w:r>
        <w:rPr>
          <w:b/>
          <w:spacing w:val="2"/>
        </w:rPr>
        <w:t>第二十四条 </w:t>
      </w:r>
      <w:r>
        <w:rPr/>
        <w:t>各单位要对所管理或使用的仪器设备、房屋、</w:t>
      </w:r>
      <w:r>
        <w:rPr>
          <w:spacing w:val="-8"/>
        </w:rPr>
        <w:t>构筑物等固定资产进行定期检查，及时向相关部门或主管部门提出鉴定、修缮或拆除意见。</w:t>
      </w:r>
    </w:p>
    <w:p>
      <w:pPr>
        <w:spacing w:after="0" w:line="364" w:lineRule="auto"/>
        <w:jc w:val="both"/>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line="364" w:lineRule="auto" w:before="55"/>
        <w:ind w:left="346" w:right="318" w:firstLine="640"/>
      </w:pPr>
      <w:r>
        <w:rPr>
          <w:b/>
          <w:spacing w:val="2"/>
        </w:rPr>
        <w:t>第二十五条 </w:t>
      </w:r>
      <w:r>
        <w:rPr/>
        <w:t>各使用单位不得随意拆卸、拆改仪器设备、家具及房屋。确因使用功能需要拆改房屋内部结构或装修房屋的， </w:t>
      </w:r>
      <w:r>
        <w:rPr>
          <w:spacing w:val="-7"/>
        </w:rPr>
        <w:t>使用单位要向资产管理部门提出申请，经核准并报主管院领导批</w:t>
      </w:r>
      <w:r>
        <w:rPr>
          <w:spacing w:val="-12"/>
        </w:rPr>
        <w:t>准后，由归口管理部门按学院有关规定组织施工。未经批准各单</w:t>
      </w:r>
      <w:r>
        <w:rPr>
          <w:spacing w:val="-16"/>
        </w:rPr>
        <w:t>位不得私自拆除、改建、扩建房屋，违者将责令其恢复原状并追究单位责任人的责任。</w:t>
      </w:r>
    </w:p>
    <w:p>
      <w:pPr>
        <w:pStyle w:val="BodyText"/>
        <w:spacing w:line="364" w:lineRule="auto" w:before="4"/>
        <w:ind w:left="346" w:right="318" w:firstLine="640"/>
      </w:pPr>
      <w:r>
        <w:rPr>
          <w:b/>
        </w:rPr>
        <w:t>第二十六条 </w:t>
      </w:r>
      <w:r>
        <w:rPr/>
        <w:t>校园里的树木、草地和园林设施属学院固定资产。未办理审批手续，不得砍伐树木，不得蓄意破坏校园绿化。</w:t>
      </w:r>
    </w:p>
    <w:p>
      <w:pPr>
        <w:pStyle w:val="BodyText"/>
        <w:spacing w:line="364" w:lineRule="auto" w:before="2"/>
        <w:ind w:left="346" w:right="431" w:firstLine="640"/>
        <w:jc w:val="both"/>
      </w:pPr>
      <w:r>
        <w:rPr>
          <w:b/>
          <w:spacing w:val="2"/>
        </w:rPr>
        <w:t>第二十七条 </w:t>
      </w:r>
      <w:r>
        <w:rPr/>
        <w:t>学院根据固定资产规模和现状，合理安排用于</w:t>
      </w:r>
      <w:r>
        <w:rPr>
          <w:spacing w:val="-11"/>
          <w:w w:val="95"/>
        </w:rPr>
        <w:t>仪器设备、设施、家具、房屋及构筑物等固定资产更新改造、维 </w:t>
      </w:r>
      <w:r>
        <w:rPr>
          <w:spacing w:val="-15"/>
        </w:rPr>
        <w:t>护维修的资金，下达至归口管理部门，确保其正常使用。具体操作按学院相关规定执行。</w:t>
      </w:r>
    </w:p>
    <w:p>
      <w:pPr>
        <w:pStyle w:val="BodyText"/>
        <w:spacing w:line="364" w:lineRule="auto" w:before="3"/>
        <w:ind w:left="346" w:right="431" w:firstLine="640"/>
        <w:jc w:val="both"/>
      </w:pPr>
      <w:r>
        <w:rPr>
          <w:b/>
          <w:spacing w:val="2"/>
        </w:rPr>
        <w:t>第二十八条 </w:t>
      </w:r>
      <w:r>
        <w:rPr/>
        <w:t>学院固定资产一般不得对外出租、出借。确需</w:t>
      </w:r>
      <w:r>
        <w:rPr>
          <w:spacing w:val="-11"/>
        </w:rPr>
        <w:t>出租、出借的，应由借出单位提出申请，固定资产管理科审核并</w:t>
      </w:r>
      <w:r>
        <w:rPr>
          <w:spacing w:val="-15"/>
        </w:rPr>
        <w:t>签订租借合同，报分管资产的院领导审批。收回出租、出借的固</w:t>
      </w:r>
      <w:r>
        <w:rPr>
          <w:spacing w:val="-14"/>
          <w:w w:val="95"/>
        </w:rPr>
        <w:t>定资产时，应认真检验。出租、出借固定资产取得的收入，及时 </w:t>
      </w:r>
      <w:r>
        <w:rPr>
          <w:spacing w:val="-14"/>
        </w:rPr>
        <w:t>足额上缴学院计划财务处，按有关规定统一管理使用。</w:t>
      </w:r>
    </w:p>
    <w:p>
      <w:pPr>
        <w:pStyle w:val="BodyText"/>
        <w:spacing w:line="364" w:lineRule="auto" w:before="4"/>
        <w:ind w:left="346" w:right="431" w:firstLine="640"/>
        <w:jc w:val="both"/>
      </w:pPr>
      <w:r>
        <w:rPr>
          <w:b/>
          <w:spacing w:val="2"/>
        </w:rPr>
        <w:t>第二十九条 </w:t>
      </w:r>
      <w:r>
        <w:rPr/>
        <w:t>学院每年定期</w:t>
      </w:r>
      <w:r>
        <w:rPr>
          <w:u w:val="single"/>
        </w:rPr>
        <w:t>地</w:t>
      </w:r>
      <w:r>
        <w:rPr/>
        <w:t>进行一次全面固定资产清查， </w:t>
      </w:r>
      <w:r>
        <w:rPr>
          <w:spacing w:val="-7"/>
        </w:rPr>
        <w:t>不定期地进行固定资产抽样清查，确保账、物相符。对资产清查</w:t>
      </w:r>
      <w:r>
        <w:rPr>
          <w:spacing w:val="-12"/>
        </w:rPr>
        <w:t>盘盈、盘亏的固定资产要及时查明原因，分清责任，按规定做出</w:t>
      </w:r>
    </w:p>
    <w:p>
      <w:pPr>
        <w:spacing w:after="0" w:line="364" w:lineRule="auto"/>
        <w:jc w:val="both"/>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346"/>
      </w:pPr>
      <w:r>
        <w:rPr/>
        <w:t>处理。</w:t>
      </w:r>
    </w:p>
    <w:p>
      <w:pPr>
        <w:pStyle w:val="BodyText"/>
        <w:spacing w:line="364" w:lineRule="auto" w:before="214"/>
        <w:ind w:left="346" w:right="433" w:firstLine="640"/>
      </w:pPr>
      <w:r>
        <w:rPr>
          <w:b/>
        </w:rPr>
        <w:t>第三十条 </w:t>
      </w:r>
      <w:r>
        <w:rPr/>
        <w:t>固定资产的维修要有计划的进行，维修费用必须列入年度预算。</w:t>
      </w:r>
    </w:p>
    <w:p>
      <w:pPr>
        <w:pStyle w:val="BodyText"/>
        <w:spacing w:line="364" w:lineRule="auto" w:before="1"/>
        <w:ind w:left="346" w:right="318" w:firstLine="640"/>
      </w:pPr>
      <w:r>
        <w:rPr/>
        <w:t>（一</w:t>
      </w:r>
      <w:r>
        <w:rPr>
          <w:spacing w:val="-58"/>
        </w:rPr>
        <w:t>）</w:t>
      </w:r>
      <w:r>
        <w:rPr>
          <w:spacing w:val="-4"/>
        </w:rPr>
        <w:t>各个部门应根据固定资产使用情况，制定年度维修计划及经费预算，按照批准的年度预算实施，具体维修归纳如下：</w:t>
      </w:r>
    </w:p>
    <w:p>
      <w:pPr>
        <w:pStyle w:val="ListParagraph"/>
        <w:numPr>
          <w:ilvl w:val="0"/>
          <w:numId w:val="5"/>
        </w:numPr>
        <w:tabs>
          <w:tab w:pos="1468" w:val="left" w:leader="none"/>
        </w:tabs>
        <w:spacing w:line="240" w:lineRule="auto" w:before="2" w:after="0"/>
        <w:ind w:left="1468" w:right="0" w:hanging="481"/>
        <w:jc w:val="left"/>
        <w:rPr>
          <w:sz w:val="32"/>
        </w:rPr>
      </w:pPr>
      <w:r>
        <w:rPr>
          <w:sz w:val="32"/>
        </w:rPr>
        <w:t>房屋的维修由总务处负责；</w:t>
      </w:r>
    </w:p>
    <w:p>
      <w:pPr>
        <w:pStyle w:val="ListParagraph"/>
        <w:numPr>
          <w:ilvl w:val="0"/>
          <w:numId w:val="5"/>
        </w:numPr>
        <w:tabs>
          <w:tab w:pos="1468" w:val="left" w:leader="none"/>
        </w:tabs>
        <w:spacing w:line="240" w:lineRule="auto" w:before="214" w:after="0"/>
        <w:ind w:left="1468" w:right="0" w:hanging="481"/>
        <w:jc w:val="left"/>
        <w:rPr>
          <w:sz w:val="32"/>
        </w:rPr>
      </w:pPr>
      <w:r>
        <w:rPr>
          <w:sz w:val="32"/>
        </w:rPr>
        <w:t>水、电、暖设备及构筑物的维修、装潢由总务处负责；</w:t>
      </w:r>
    </w:p>
    <w:p>
      <w:pPr>
        <w:pStyle w:val="ListParagraph"/>
        <w:numPr>
          <w:ilvl w:val="0"/>
          <w:numId w:val="5"/>
        </w:numPr>
        <w:tabs>
          <w:tab w:pos="1470" w:val="left" w:leader="none"/>
        </w:tabs>
        <w:spacing w:line="364" w:lineRule="auto" w:before="214" w:after="0"/>
        <w:ind w:left="346" w:right="431" w:firstLine="640"/>
        <w:jc w:val="both"/>
        <w:rPr>
          <w:sz w:val="32"/>
        </w:rPr>
      </w:pPr>
      <w:r>
        <w:rPr>
          <w:sz w:val="32"/>
        </w:rPr>
        <w:t>各部门的专用设备、一般设备及其他固定资产的维修按</w:t>
      </w:r>
      <w:r>
        <w:rPr>
          <w:spacing w:val="-6"/>
          <w:sz w:val="32"/>
        </w:rPr>
        <w:t>照学院预算经费的计划标准及归口部门进行维修，电脑设备由宣传部信息中心负责，其他维修由总务处负责；</w:t>
      </w:r>
    </w:p>
    <w:p>
      <w:pPr>
        <w:pStyle w:val="BodyText"/>
        <w:spacing w:line="364" w:lineRule="auto" w:before="2"/>
        <w:ind w:left="346" w:right="318" w:firstLine="640"/>
      </w:pPr>
      <w:r>
        <w:rPr/>
        <w:t>（二</w:t>
      </w:r>
      <w:r>
        <w:rPr>
          <w:spacing w:val="-39"/>
        </w:rPr>
        <w:t>）</w:t>
      </w:r>
      <w:r>
        <w:rPr>
          <w:spacing w:val="-7"/>
        </w:rPr>
        <w:t>使用过程中发生损坏、故障等的修理，首先要查明原因，属于自然损坏的，在保修期内，可直接找商家更换或修理， </w:t>
      </w:r>
      <w:r>
        <w:rPr>
          <w:spacing w:val="-13"/>
        </w:rPr>
        <w:t>已超过保修期的，由各部门按学院规定组织实施；属于人为因素造成设备损坏要追究当事人的责任。</w:t>
      </w:r>
    </w:p>
    <w:p>
      <w:pPr>
        <w:pStyle w:val="BodyText"/>
        <w:tabs>
          <w:tab w:pos="1279" w:val="left" w:leader="none"/>
        </w:tabs>
        <w:spacing w:before="3"/>
        <w:ind w:right="87"/>
        <w:jc w:val="center"/>
        <w:rPr>
          <w:rFonts w:ascii="黑体" w:eastAsia="黑体" w:hint="eastAsia"/>
        </w:rPr>
      </w:pPr>
      <w:r>
        <w:rPr>
          <w:rFonts w:ascii="黑体" w:eastAsia="黑体" w:hint="eastAsia"/>
        </w:rPr>
        <w:t>第六章</w:t>
        <w:tab/>
        <w:t>固定资产处置</w:t>
      </w:r>
    </w:p>
    <w:p>
      <w:pPr>
        <w:pStyle w:val="BodyText"/>
        <w:spacing w:line="364" w:lineRule="auto" w:before="214"/>
        <w:ind w:left="346" w:right="112" w:firstLine="640"/>
      </w:pPr>
      <w:r>
        <w:rPr>
          <w:b/>
          <w:spacing w:val="9"/>
        </w:rPr>
        <w:t>第三十一条 </w:t>
      </w:r>
      <w:r>
        <w:rPr/>
        <w:t>固定资产处置是指学院对占有、使用的资产进</w:t>
      </w:r>
      <w:r>
        <w:rPr>
          <w:w w:val="95"/>
        </w:rPr>
        <w:t>行</w:t>
      </w:r>
      <w:r>
        <w:rPr>
          <w:spacing w:val="-16"/>
          <w:w w:val="95"/>
        </w:rPr>
        <w:t>产权转让或者注销产权的行为。处置方式包括无偿调拨</w:t>
      </w:r>
      <w:r>
        <w:rPr>
          <w:w w:val="95"/>
        </w:rPr>
        <w:t>（划转</w:t>
      </w:r>
      <w:r>
        <w:rPr>
          <w:spacing w:val="-159"/>
          <w:w w:val="95"/>
        </w:rPr>
        <w:t>）</w:t>
      </w:r>
      <w:r>
        <w:rPr>
          <w:w w:val="95"/>
        </w:rPr>
        <w:t>、  </w:t>
      </w:r>
      <w:r>
        <w:rPr/>
        <w:t>对外捐赠、出售（出让、转让</w:t>
      </w:r>
      <w:r>
        <w:rPr>
          <w:spacing w:val="-156"/>
        </w:rPr>
        <w:t>）</w:t>
      </w:r>
      <w:r>
        <w:rPr/>
        <w:t>、置换、报损、报废（包括房屋 拆除）等。</w:t>
      </w:r>
    </w:p>
    <w:p>
      <w:pPr>
        <w:spacing w:before="4"/>
        <w:ind w:left="987" w:right="0" w:firstLine="0"/>
        <w:jc w:val="left"/>
        <w:rPr>
          <w:sz w:val="32"/>
        </w:rPr>
      </w:pPr>
      <w:r>
        <w:rPr>
          <w:b/>
          <w:sz w:val="32"/>
        </w:rPr>
        <w:t>第三十二条 </w:t>
      </w:r>
      <w:r>
        <w:rPr>
          <w:sz w:val="32"/>
        </w:rPr>
        <w:t>学院固定资产处置，按照“先报批，后处置”</w:t>
      </w:r>
    </w:p>
    <w:p>
      <w:pPr>
        <w:spacing w:after="0"/>
        <w:jc w:val="left"/>
        <w:rPr>
          <w:sz w:val="32"/>
        </w:rPr>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line="364" w:lineRule="auto" w:before="55"/>
        <w:ind w:left="346" w:right="433"/>
      </w:pPr>
      <w:r>
        <w:rPr>
          <w:spacing w:val="-9"/>
        </w:rPr>
        <w:t>的原则根据相关程序严格执行。资产管理部门代表学院归口管理固定资产的处置，其他单位及个人不得擅自处置。</w:t>
      </w:r>
    </w:p>
    <w:p>
      <w:pPr>
        <w:pStyle w:val="BodyText"/>
        <w:spacing w:line="364" w:lineRule="auto" w:before="1"/>
        <w:ind w:left="346" w:right="318" w:firstLine="640"/>
      </w:pPr>
      <w:r>
        <w:rPr>
          <w:b/>
        </w:rPr>
        <w:t>第三十三条 </w:t>
      </w:r>
      <w:r>
        <w:rPr/>
        <w:t>学院土地、房屋及构筑物、机动车辆等专项资产的处置严格按国家和学院相关法律法规执行。属于涉密资产， 按国家有关规定处理。</w:t>
      </w:r>
    </w:p>
    <w:p>
      <w:pPr>
        <w:pStyle w:val="BodyText"/>
        <w:spacing w:line="364" w:lineRule="auto" w:before="3"/>
        <w:ind w:left="346" w:right="431" w:firstLine="640"/>
        <w:jc w:val="both"/>
      </w:pPr>
      <w:r>
        <w:rPr>
          <w:b/>
          <w:spacing w:val="2"/>
        </w:rPr>
        <w:t>第三十四条 </w:t>
      </w:r>
      <w:r>
        <w:rPr/>
        <w:t>固定资产处置收入包括出售收入、报废报损残</w:t>
      </w:r>
      <w:r>
        <w:rPr>
          <w:spacing w:val="-10"/>
        </w:rPr>
        <w:t>值变价收入等。固定资产处置收入由财务部门统一组织收缴、核算，实行“收支两条线”管理。</w:t>
      </w:r>
    </w:p>
    <w:p>
      <w:pPr>
        <w:spacing w:before="2"/>
        <w:ind w:left="987" w:right="0" w:firstLine="0"/>
        <w:jc w:val="both"/>
        <w:rPr>
          <w:sz w:val="32"/>
        </w:rPr>
      </w:pPr>
      <w:r>
        <w:rPr>
          <w:b/>
          <w:sz w:val="32"/>
        </w:rPr>
        <w:t>第三十五条 </w:t>
      </w:r>
      <w:r>
        <w:rPr>
          <w:sz w:val="32"/>
        </w:rPr>
        <w:t>学院处置固定资产审批按以下权限执行：</w:t>
      </w:r>
    </w:p>
    <w:p>
      <w:pPr>
        <w:pStyle w:val="BodyText"/>
        <w:spacing w:line="364" w:lineRule="auto" w:before="214"/>
        <w:ind w:left="346" w:right="431" w:firstLine="640"/>
        <w:jc w:val="both"/>
      </w:pPr>
      <w:r>
        <w:rPr/>
        <w:t>（一</w:t>
      </w:r>
      <w:r>
        <w:rPr>
          <w:spacing w:val="-39"/>
        </w:rPr>
        <w:t>）</w:t>
      </w:r>
      <w:r>
        <w:rPr>
          <w:spacing w:val="-6"/>
        </w:rPr>
        <w:t>一次性处置单台</w:t>
      </w:r>
      <w:r>
        <w:rPr/>
        <w:t>（项</w:t>
      </w:r>
      <w:r>
        <w:rPr>
          <w:spacing w:val="-36"/>
        </w:rPr>
        <w:t>）</w:t>
      </w:r>
      <w:r>
        <w:rPr>
          <w:spacing w:val="-15"/>
        </w:rPr>
        <w:t>或批量原值 </w:t>
      </w:r>
      <w:r>
        <w:rPr/>
        <w:t>5</w:t>
      </w:r>
      <w:r>
        <w:rPr>
          <w:spacing w:val="-12"/>
        </w:rPr>
        <w:t> 万元以下的固定资产，由使用单位提出申请并经技术鉴定，资产管理部门、财务审计处初审，报分管资产院领导审批后执行。</w:t>
      </w:r>
    </w:p>
    <w:p>
      <w:pPr>
        <w:pStyle w:val="BodyText"/>
        <w:spacing w:line="364" w:lineRule="auto" w:before="2"/>
        <w:ind w:left="346" w:right="318" w:firstLine="640"/>
      </w:pPr>
      <w:r>
        <w:rPr/>
        <w:t>（二）一次性处置批量原值 5 万元及以上，30 万元以下的固定资产，由使用单位提出申请并经技术鉴定，资产管理部门、财务审计处初审，报分管资产院领导审核、院长审批后执行。</w:t>
      </w:r>
    </w:p>
    <w:p>
      <w:pPr>
        <w:pStyle w:val="BodyText"/>
        <w:spacing w:line="364" w:lineRule="auto" w:before="3"/>
        <w:ind w:left="346" w:right="318" w:firstLine="640"/>
      </w:pPr>
      <w:r>
        <w:rPr/>
        <w:t>（三）处置原值单台（项）5 万元及以上，一次性处置批量原值 30 万元及以上的固定资产，交通运输车辆、土地和房屋建筑物拆除，由使用单位提出申请并附专题报告报资产管理部门， 经学院党委会审定，报上级主管部门批复后执行。</w:t>
      </w:r>
    </w:p>
    <w:p>
      <w:pPr>
        <w:spacing w:before="3"/>
        <w:ind w:left="987" w:right="0" w:firstLine="0"/>
        <w:jc w:val="left"/>
        <w:rPr>
          <w:sz w:val="32"/>
        </w:rPr>
      </w:pPr>
      <w:r>
        <w:rPr>
          <w:b/>
          <w:sz w:val="32"/>
        </w:rPr>
        <w:t>第三十六条 </w:t>
      </w:r>
      <w:r>
        <w:rPr>
          <w:sz w:val="32"/>
        </w:rPr>
        <w:t>固定资产处置实施，财务、审计部门必须参加，</w:t>
      </w:r>
    </w:p>
    <w:p>
      <w:pPr>
        <w:spacing w:after="0"/>
        <w:jc w:val="left"/>
        <w:rPr>
          <w:sz w:val="32"/>
        </w:rPr>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line="364" w:lineRule="auto" w:before="55"/>
        <w:ind w:left="346" w:right="433"/>
      </w:pPr>
      <w:r>
        <w:rPr>
          <w:spacing w:val="-9"/>
        </w:rPr>
        <w:t>使用单位或个人不得私自处置。已报废的资产由资产管理部门统一收回处理。</w:t>
      </w:r>
    </w:p>
    <w:p>
      <w:pPr>
        <w:pStyle w:val="BodyText"/>
        <w:spacing w:line="364" w:lineRule="auto" w:before="1"/>
        <w:ind w:left="346" w:right="431" w:firstLine="640"/>
        <w:jc w:val="both"/>
      </w:pPr>
      <w:r>
        <w:rPr>
          <w:b/>
          <w:spacing w:val="-2"/>
        </w:rPr>
        <w:t>第三十七条 </w:t>
      </w:r>
      <w:r>
        <w:rPr>
          <w:spacing w:val="-4"/>
        </w:rPr>
        <w:t>每年统计单台</w:t>
      </w:r>
      <w:r>
        <w:rPr/>
        <w:t>（套</w:t>
      </w:r>
      <w:r>
        <w:rPr>
          <w:spacing w:val="-6"/>
        </w:rPr>
        <w:t>）50</w:t>
      </w:r>
      <w:r>
        <w:rPr>
          <w:spacing w:val="-10"/>
        </w:rPr>
        <w:t> 万元以下的固定资产报</w:t>
      </w:r>
      <w:r>
        <w:rPr>
          <w:spacing w:val="-19"/>
        </w:rPr>
        <w:t>废情况，于次年 </w:t>
      </w:r>
      <w:r>
        <w:rPr/>
        <w:t>1</w:t>
      </w:r>
      <w:r>
        <w:rPr>
          <w:spacing w:val="-10"/>
        </w:rPr>
        <w:t> 月报上级主管部门备案。</w:t>
      </w:r>
    </w:p>
    <w:p>
      <w:pPr>
        <w:pStyle w:val="BodyText"/>
        <w:spacing w:line="364" w:lineRule="auto" w:before="2"/>
        <w:ind w:left="346" w:right="431" w:firstLine="640"/>
        <w:jc w:val="both"/>
      </w:pPr>
      <w:r>
        <w:rPr>
          <w:b/>
          <w:spacing w:val="2"/>
        </w:rPr>
        <w:t>第三十八条 </w:t>
      </w:r>
      <w:r>
        <w:rPr/>
        <w:t>各单位要加强固定资产处置的管理，制止报损</w:t>
      </w:r>
      <w:r>
        <w:rPr>
          <w:spacing w:val="-10"/>
        </w:rPr>
        <w:t>报废、处置过程中的各种违法乱纪行为，防止固定资产流失，维护学院的合法权益。</w:t>
      </w:r>
    </w:p>
    <w:p>
      <w:pPr>
        <w:pStyle w:val="BodyText"/>
        <w:tabs>
          <w:tab w:pos="1259" w:val="left" w:leader="none"/>
        </w:tabs>
        <w:spacing w:before="158"/>
        <w:ind w:right="87"/>
        <w:jc w:val="center"/>
        <w:rPr>
          <w:rFonts w:ascii="黑体" w:eastAsia="黑体" w:hint="eastAsia"/>
        </w:rPr>
      </w:pPr>
      <w:r>
        <w:rPr>
          <w:rFonts w:ascii="黑体" w:eastAsia="黑体" w:hint="eastAsia"/>
        </w:rPr>
        <w:t>第七章</w:t>
        <w:tab/>
        <w:t>固定资产账务管理</w:t>
      </w:r>
    </w:p>
    <w:p>
      <w:pPr>
        <w:pStyle w:val="BodyText"/>
        <w:spacing w:before="11"/>
        <w:rPr>
          <w:rFonts w:ascii="黑体"/>
          <w:sz w:val="28"/>
        </w:rPr>
      </w:pPr>
    </w:p>
    <w:p>
      <w:pPr>
        <w:pStyle w:val="BodyText"/>
        <w:spacing w:line="364" w:lineRule="auto"/>
        <w:ind w:left="346" w:right="431" w:firstLine="640"/>
        <w:jc w:val="both"/>
      </w:pPr>
      <w:r>
        <w:rPr/>
        <w:pict>
          <v:line style="position:absolute;mso-position-horizontal-relative:page;mso-position-vertical-relative:paragraph;z-index:251675648" from="530.599976pt,119.410004pt" to="530.599976pt,150.610004pt" stroked="true" strokeweight=".45617pt" strokecolor="#000000">
            <v:stroke dashstyle="solid"/>
            <w10:wrap type="none"/>
          </v:line>
        </w:pict>
      </w:r>
      <w:r>
        <w:rPr>
          <w:b/>
          <w:spacing w:val="2"/>
        </w:rPr>
        <w:t>第三十九条 </w:t>
      </w:r>
      <w:r>
        <w:rPr/>
        <w:t>学院通过固定资产管理系统（国子系统）对学</w:t>
      </w:r>
      <w:r>
        <w:rPr>
          <w:spacing w:val="-9"/>
        </w:rPr>
        <w:t>院固定资产实行网络化管理。各单位要按照学院资产网络化管理</w:t>
      </w:r>
      <w:r>
        <w:rPr>
          <w:spacing w:val="-16"/>
        </w:rPr>
        <w:t>的要求建立健全固定资产明细账，各级资产管理员要按相关要求正确使用固定资产管理系统。</w:t>
      </w:r>
    </w:p>
    <w:p>
      <w:pPr>
        <w:spacing w:before="4"/>
        <w:ind w:left="987" w:right="0" w:firstLine="0"/>
        <w:jc w:val="both"/>
        <w:rPr>
          <w:sz w:val="32"/>
        </w:rPr>
      </w:pPr>
      <w:r>
        <w:rPr>
          <w:b/>
          <w:sz w:val="32"/>
        </w:rPr>
        <w:t>第四十条 </w:t>
      </w:r>
      <w:r>
        <w:rPr>
          <w:sz w:val="32"/>
        </w:rPr>
        <w:t>固定资产入账手续的办理：</w:t>
      </w:r>
    </w:p>
    <w:p>
      <w:pPr>
        <w:pStyle w:val="BodyText"/>
        <w:spacing w:line="364" w:lineRule="auto" w:before="214"/>
        <w:ind w:left="346" w:right="433" w:firstLine="640"/>
        <w:jc w:val="both"/>
      </w:pPr>
      <w:r>
        <w:rPr/>
        <w:t>（一</w:t>
      </w:r>
      <w:r>
        <w:rPr>
          <w:spacing w:val="-58"/>
        </w:rPr>
        <w:t>）</w:t>
      </w:r>
      <w:r>
        <w:rPr>
          <w:spacing w:val="-4"/>
        </w:rPr>
        <w:t>建造房屋及构筑物形成固定资产，验收合格后由归口</w:t>
      </w:r>
      <w:r>
        <w:rPr>
          <w:spacing w:val="-6"/>
          <w:w w:val="99"/>
        </w:rPr>
        <w:t>管理部门填写“房屋及构筑物固定资产记账单”，按合同价办理</w:t>
      </w:r>
      <w:r>
        <w:rPr>
          <w:spacing w:val="-12"/>
          <w:w w:val="95"/>
        </w:rPr>
        <w:t>入账手续。经过审计确认建设工程造价、办理竣工决算后，再按 </w:t>
      </w:r>
      <w:r>
        <w:rPr>
          <w:spacing w:val="-16"/>
        </w:rPr>
        <w:t>决算价格进行资产价值调整。改、扩建的房屋及构筑物增加价值时，应在项目验收并经过审计确认工程造价后及时入账。</w:t>
      </w:r>
    </w:p>
    <w:p>
      <w:pPr>
        <w:pStyle w:val="BodyText"/>
        <w:spacing w:line="364" w:lineRule="auto" w:before="4"/>
        <w:ind w:left="346" w:right="318" w:firstLine="640"/>
      </w:pPr>
      <w:r>
        <w:rPr/>
        <w:t>（二）仪器设备类、家具等固定资产入账，根据购置发票、合同、验收材料等办理固定资产入账等手续。</w:t>
      </w:r>
    </w:p>
    <w:p>
      <w:pPr>
        <w:spacing w:after="0" w:line="364" w:lineRule="auto"/>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line="364" w:lineRule="auto" w:before="55"/>
        <w:ind w:left="346" w:right="431" w:firstLine="640"/>
        <w:jc w:val="both"/>
      </w:pPr>
      <w:r>
        <w:rPr/>
        <w:pict>
          <v:line style="position:absolute;mso-position-horizontal-relative:page;mso-position-vertical-relative:paragraph;z-index:251676672" from="70.349998pt,153.359985pt" to="70.349998pt,184.559985pt" stroked="true" strokeweight=".45617pt" strokecolor="#000000">
            <v:stroke dashstyle="solid"/>
            <w10:wrap type="none"/>
          </v:line>
        </w:pict>
      </w:r>
      <w:r>
        <w:rPr/>
        <w:t>（三</w:t>
      </w:r>
      <w:r>
        <w:rPr>
          <w:spacing w:val="-39"/>
        </w:rPr>
        <w:t>）</w:t>
      </w:r>
      <w:r>
        <w:rPr>
          <w:spacing w:val="-8"/>
        </w:rPr>
        <w:t>购回的图书，其购书清单与发票一并，经单位主管领</w:t>
      </w:r>
      <w:r>
        <w:rPr>
          <w:spacing w:val="-15"/>
        </w:rPr>
        <w:t>导审核签字后办理建账手续；没有购书清单的，要将所购图书资</w:t>
      </w:r>
      <w:r>
        <w:rPr>
          <w:spacing w:val="-17"/>
          <w:w w:val="95"/>
        </w:rPr>
        <w:t>料按实际购得的书名、册数、单价、总价</w:t>
      </w:r>
      <w:r>
        <w:rPr>
          <w:w w:val="95"/>
        </w:rPr>
        <w:t>（要求与发票上的金额 </w:t>
      </w:r>
      <w:r>
        <w:rPr/>
        <w:t>一致</w:t>
      </w:r>
      <w:r>
        <w:rPr>
          <w:spacing w:val="-29"/>
        </w:rPr>
        <w:t>）</w:t>
      </w:r>
      <w:r>
        <w:rPr>
          <w:spacing w:val="-9"/>
        </w:rPr>
        <w:t>等进行清点、造册盖章，凭造册与发票一并，经单位主管领导审核（注明经费来源）签字后办理建账手续。</w:t>
      </w:r>
    </w:p>
    <w:p>
      <w:pPr>
        <w:spacing w:before="4"/>
        <w:ind w:left="987" w:right="0" w:firstLine="0"/>
        <w:jc w:val="both"/>
        <w:rPr>
          <w:sz w:val="32"/>
        </w:rPr>
      </w:pPr>
      <w:r>
        <w:rPr>
          <w:b/>
          <w:sz w:val="32"/>
        </w:rPr>
        <w:t>第四十一条 </w:t>
      </w:r>
      <w:r>
        <w:rPr>
          <w:sz w:val="32"/>
        </w:rPr>
        <w:t>固定资产调拨手续的办理：</w:t>
      </w:r>
    </w:p>
    <w:p>
      <w:pPr>
        <w:pStyle w:val="BodyText"/>
        <w:spacing w:line="364" w:lineRule="auto" w:before="214"/>
        <w:ind w:left="346" w:right="431" w:firstLine="640"/>
        <w:jc w:val="both"/>
      </w:pPr>
      <w:r>
        <w:rPr/>
        <w:t>（一</w:t>
      </w:r>
      <w:r>
        <w:rPr>
          <w:spacing w:val="-39"/>
        </w:rPr>
        <w:t>）</w:t>
      </w:r>
      <w:r>
        <w:rPr>
          <w:spacing w:val="-6"/>
        </w:rPr>
        <w:t>固定资产调拨手续的办理。固定资产调拨时，由调出</w:t>
      </w:r>
      <w:r>
        <w:rPr>
          <w:spacing w:val="-12"/>
          <w:w w:val="95"/>
        </w:rPr>
        <w:t>单位在固定资产管理系统中提交调拨申请，打印《固定资产项目 </w:t>
      </w:r>
      <w:r>
        <w:rPr>
          <w:spacing w:val="-16"/>
        </w:rPr>
        <w:t>变动报告单》，经调入单位确认，报固定资产管理科审批后办理调拨调账手续。</w:t>
      </w:r>
    </w:p>
    <w:p>
      <w:pPr>
        <w:pStyle w:val="BodyText"/>
        <w:spacing w:line="364" w:lineRule="auto" w:before="3"/>
        <w:ind w:left="346" w:right="431" w:firstLine="640"/>
        <w:jc w:val="both"/>
      </w:pPr>
      <w:r>
        <w:rPr/>
        <w:pict>
          <v:line style="position:absolute;mso-position-horizontal-relative:page;mso-position-vertical-relative:paragraph;z-index:251677696" from="70.349998pt,88.359985pt" to="70.349998pt,119.559985pt" stroked="true" strokeweight=".45617pt" strokecolor="#000000">
            <v:stroke dashstyle="solid"/>
            <w10:wrap type="none"/>
          </v:line>
        </w:pict>
      </w:r>
      <w:r>
        <w:rPr/>
        <w:t>（二</w:t>
      </w:r>
      <w:r>
        <w:rPr>
          <w:spacing w:val="-58"/>
        </w:rPr>
        <w:t>）</w:t>
      </w:r>
      <w:r>
        <w:rPr>
          <w:spacing w:val="-7"/>
        </w:rPr>
        <w:t>固定资产价值调整。如固定资产的账面数与实物数账</w:t>
      </w:r>
      <w:r>
        <w:rPr>
          <w:spacing w:val="-13"/>
        </w:rPr>
        <w:t>实不符，应及时查明原因，按规定到归口管理部门和财务部门办理价值调整手续。</w:t>
      </w:r>
    </w:p>
    <w:p>
      <w:pPr>
        <w:spacing w:before="2"/>
        <w:ind w:left="987" w:right="0" w:firstLine="0"/>
        <w:jc w:val="both"/>
        <w:rPr>
          <w:sz w:val="32"/>
        </w:rPr>
      </w:pPr>
      <w:r>
        <w:rPr>
          <w:b/>
          <w:sz w:val="32"/>
        </w:rPr>
        <w:t>第四十二条 </w:t>
      </w:r>
      <w:r>
        <w:rPr>
          <w:sz w:val="32"/>
        </w:rPr>
        <w:t>固定资产注销手续的办理：</w:t>
      </w:r>
    </w:p>
    <w:p>
      <w:pPr>
        <w:pStyle w:val="BodyText"/>
        <w:spacing w:before="214"/>
        <w:ind w:left="987"/>
      </w:pPr>
      <w:r>
        <w:rPr/>
        <w:t>（一）固定资产报损、报失手续的办理：</w:t>
      </w:r>
    </w:p>
    <w:p>
      <w:pPr>
        <w:pStyle w:val="ListParagraph"/>
        <w:numPr>
          <w:ilvl w:val="0"/>
          <w:numId w:val="6"/>
        </w:numPr>
        <w:tabs>
          <w:tab w:pos="1468" w:val="left" w:leader="none"/>
        </w:tabs>
        <w:spacing w:line="364" w:lineRule="auto" w:before="214" w:after="0"/>
        <w:ind w:left="346" w:right="274" w:firstLine="640"/>
        <w:jc w:val="left"/>
        <w:rPr>
          <w:sz w:val="32"/>
        </w:rPr>
      </w:pPr>
      <w:r>
        <w:rPr>
          <w:spacing w:val="-4"/>
          <w:sz w:val="32"/>
        </w:rPr>
        <w:t>因被盗而损失的固定资产</w:t>
      </w:r>
      <w:r>
        <w:rPr>
          <w:sz w:val="32"/>
        </w:rPr>
        <w:t>（保管不当除外</w:t>
      </w:r>
      <w:r>
        <w:rPr>
          <w:spacing w:val="-99"/>
          <w:sz w:val="32"/>
        </w:rPr>
        <w:t>）</w:t>
      </w:r>
      <w:r>
        <w:rPr>
          <w:spacing w:val="-18"/>
          <w:sz w:val="32"/>
        </w:rPr>
        <w:t>，使用单位必</w:t>
      </w:r>
      <w:r>
        <w:rPr>
          <w:spacing w:val="-16"/>
          <w:sz w:val="32"/>
        </w:rPr>
        <w:t>须提交书面报告，并附公安部门或保卫处出具的证明材料，证明</w:t>
      </w:r>
      <w:r>
        <w:rPr>
          <w:spacing w:val="-17"/>
          <w:sz w:val="32"/>
        </w:rPr>
        <w:t>不属管理不当而被盗的，经本单位资产管理员和单位负责人签字</w:t>
      </w:r>
      <w:r>
        <w:rPr>
          <w:spacing w:val="-19"/>
          <w:sz w:val="32"/>
        </w:rPr>
        <w:t>后，报总务处固定资产管理科审核，经学院审批同意免予赔偿后， 办理固定资产注销手续。</w:t>
      </w:r>
    </w:p>
    <w:p>
      <w:pPr>
        <w:spacing w:after="0" w:line="364" w:lineRule="auto"/>
        <w:jc w:val="left"/>
        <w:rPr>
          <w:sz w:val="32"/>
        </w:rPr>
        <w:sectPr>
          <w:pgSz w:w="11910" w:h="16840"/>
          <w:pgMar w:header="0" w:footer="1487" w:top="1580" w:bottom="1680" w:left="1240" w:right="1040"/>
        </w:sectPr>
      </w:pPr>
    </w:p>
    <w:p>
      <w:pPr>
        <w:pStyle w:val="BodyText"/>
        <w:rPr>
          <w:sz w:val="20"/>
        </w:rPr>
      </w:pPr>
    </w:p>
    <w:p>
      <w:pPr>
        <w:pStyle w:val="BodyText"/>
        <w:spacing w:before="2"/>
        <w:rPr>
          <w:sz w:val="23"/>
        </w:rPr>
      </w:pPr>
    </w:p>
    <w:p>
      <w:pPr>
        <w:pStyle w:val="ListParagraph"/>
        <w:numPr>
          <w:ilvl w:val="0"/>
          <w:numId w:val="6"/>
        </w:numPr>
        <w:tabs>
          <w:tab w:pos="1470" w:val="left" w:leader="none"/>
        </w:tabs>
        <w:spacing w:line="364" w:lineRule="auto" w:before="55" w:after="0"/>
        <w:ind w:left="346" w:right="431" w:firstLine="640"/>
        <w:jc w:val="both"/>
        <w:rPr>
          <w:sz w:val="32"/>
        </w:rPr>
      </w:pPr>
      <w:r>
        <w:rPr>
          <w:sz w:val="32"/>
        </w:rPr>
        <w:t>因自然灾害或不可抗力因素造成的固定资产损失，由使</w:t>
      </w:r>
      <w:r>
        <w:rPr>
          <w:spacing w:val="-8"/>
          <w:sz w:val="32"/>
        </w:rPr>
        <w:t>用单位提供合法的证明材料，报资产管理科审核，经学院审批同意免予赔偿后，办理固定资产注销手续。</w:t>
      </w:r>
    </w:p>
    <w:p>
      <w:pPr>
        <w:pStyle w:val="ListParagraph"/>
        <w:numPr>
          <w:ilvl w:val="0"/>
          <w:numId w:val="6"/>
        </w:numPr>
        <w:tabs>
          <w:tab w:pos="1470" w:val="left" w:leader="none"/>
        </w:tabs>
        <w:spacing w:line="364" w:lineRule="auto" w:before="2" w:after="0"/>
        <w:ind w:left="346" w:right="431" w:firstLine="640"/>
        <w:jc w:val="both"/>
        <w:rPr>
          <w:sz w:val="32"/>
        </w:rPr>
      </w:pPr>
      <w:r>
        <w:rPr>
          <w:sz w:val="32"/>
        </w:rPr>
        <w:t>因管理措施不到位，造成固定资产被盗或毁损的，有关</w:t>
      </w:r>
      <w:r>
        <w:rPr>
          <w:spacing w:val="-10"/>
          <w:sz w:val="32"/>
        </w:rPr>
        <w:t>单位和人员要查明原因、明确责任，并向资产管理部门提供书面报告，进行赔偿处理后，方可办理固定资产注销手续。</w:t>
      </w:r>
    </w:p>
    <w:p>
      <w:pPr>
        <w:pStyle w:val="BodyText"/>
        <w:spacing w:before="2"/>
        <w:ind w:left="987"/>
      </w:pPr>
      <w:r>
        <w:rPr/>
        <w:t>（二）固定资产报废手续的办理：</w:t>
      </w:r>
    </w:p>
    <w:p>
      <w:pPr>
        <w:pStyle w:val="ListParagraph"/>
        <w:numPr>
          <w:ilvl w:val="0"/>
          <w:numId w:val="7"/>
        </w:numPr>
        <w:tabs>
          <w:tab w:pos="1470" w:val="left" w:leader="none"/>
        </w:tabs>
        <w:spacing w:line="364" w:lineRule="auto" w:before="214" w:after="0"/>
        <w:ind w:left="346" w:right="318" w:firstLine="640"/>
        <w:jc w:val="left"/>
        <w:rPr>
          <w:sz w:val="32"/>
        </w:rPr>
      </w:pPr>
      <w:r>
        <w:rPr>
          <w:sz w:val="32"/>
        </w:rPr>
        <w:t>凡需报废的固定资产，由资产所在单位在固定资产管理系统（国子系统）中提交报废申请，说明资产现状及申请原因， </w:t>
      </w:r>
      <w:r>
        <w:rPr>
          <w:spacing w:val="-12"/>
          <w:sz w:val="32"/>
        </w:rPr>
        <w:t>打印《固定资产处置报告单》，报单位领导批示后提交固定资产</w:t>
      </w:r>
      <w:r>
        <w:rPr>
          <w:spacing w:val="-15"/>
          <w:sz w:val="32"/>
        </w:rPr>
        <w:t>管理科处理。贵重仪器设备的报废，由固定资产管理科组织专业技术鉴定小组进行鉴定，出具鉴定意见。</w:t>
      </w:r>
    </w:p>
    <w:p>
      <w:pPr>
        <w:pStyle w:val="ListParagraph"/>
        <w:numPr>
          <w:ilvl w:val="0"/>
          <w:numId w:val="7"/>
        </w:numPr>
        <w:tabs>
          <w:tab w:pos="1470" w:val="left" w:leader="none"/>
        </w:tabs>
        <w:spacing w:line="350" w:lineRule="auto" w:before="57" w:after="0"/>
        <w:ind w:left="346" w:right="431" w:firstLine="640"/>
        <w:jc w:val="both"/>
        <w:rPr>
          <w:sz w:val="32"/>
        </w:rPr>
      </w:pPr>
      <w:r>
        <w:rPr>
          <w:sz w:val="32"/>
        </w:rPr>
        <w:t>固定资产管理科按规定程序和权限对《固定资产处置报</w:t>
      </w:r>
      <w:r>
        <w:rPr>
          <w:spacing w:val="-11"/>
          <w:sz w:val="32"/>
        </w:rPr>
        <w:t>告单》进行审核，汇总后交学院计划财务处，由计划财务处核对后，报上级主管部门审批，批复文件报省财政厅备案。其中，已</w:t>
      </w:r>
      <w:r>
        <w:rPr>
          <w:spacing w:val="-16"/>
          <w:sz w:val="32"/>
        </w:rPr>
        <w:t>达使用年限并且应淘汰报废的资产处置，学院自主处置，处置结果按季度报主管部门备案。</w:t>
      </w:r>
    </w:p>
    <w:p>
      <w:pPr>
        <w:pStyle w:val="ListParagraph"/>
        <w:numPr>
          <w:ilvl w:val="0"/>
          <w:numId w:val="7"/>
        </w:numPr>
        <w:tabs>
          <w:tab w:pos="1470" w:val="left" w:leader="none"/>
        </w:tabs>
        <w:spacing w:line="364" w:lineRule="exact" w:before="0" w:after="0"/>
        <w:ind w:left="1469" w:right="0" w:hanging="483"/>
        <w:jc w:val="left"/>
        <w:rPr>
          <w:sz w:val="32"/>
        </w:rPr>
      </w:pPr>
      <w:r>
        <w:rPr>
          <w:sz w:val="32"/>
        </w:rPr>
        <w:t>固定资产管理科根据经审批同意的《固定资产处置报告</w:t>
      </w:r>
    </w:p>
    <w:p>
      <w:pPr>
        <w:pStyle w:val="BodyText"/>
        <w:spacing w:line="364" w:lineRule="auto" w:before="214"/>
        <w:ind w:left="346" w:right="431"/>
      </w:pPr>
      <w:r>
        <w:rPr>
          <w:spacing w:val="-11"/>
        </w:rPr>
        <w:t>单》及有关凭证逐一回收报废实物，待实物处置完毕后办理注销手续。</w:t>
      </w:r>
    </w:p>
    <w:p>
      <w:pPr>
        <w:spacing w:after="0" w:line="364" w:lineRule="auto"/>
        <w:sectPr>
          <w:pgSz w:w="11910" w:h="16840"/>
          <w:pgMar w:header="0" w:footer="1487" w:top="1580" w:bottom="1680" w:left="1240" w:right="1040"/>
        </w:sectPr>
      </w:pPr>
    </w:p>
    <w:p>
      <w:pPr>
        <w:pStyle w:val="BodyText"/>
        <w:rPr>
          <w:sz w:val="20"/>
        </w:rPr>
      </w:pPr>
    </w:p>
    <w:p>
      <w:pPr>
        <w:pStyle w:val="BodyText"/>
        <w:spacing w:before="2"/>
        <w:rPr>
          <w:sz w:val="23"/>
        </w:rPr>
      </w:pPr>
    </w:p>
    <w:p>
      <w:pPr>
        <w:pStyle w:val="ListParagraph"/>
        <w:numPr>
          <w:ilvl w:val="0"/>
          <w:numId w:val="7"/>
        </w:numPr>
        <w:tabs>
          <w:tab w:pos="1470" w:val="left" w:leader="none"/>
        </w:tabs>
        <w:spacing w:line="364" w:lineRule="auto" w:before="55" w:after="0"/>
        <w:ind w:left="346" w:right="318" w:firstLine="640"/>
        <w:jc w:val="both"/>
        <w:rPr>
          <w:sz w:val="32"/>
        </w:rPr>
      </w:pPr>
      <w:r>
        <w:rPr>
          <w:sz w:val="32"/>
        </w:rPr>
        <w:t>土地、交通运输车辆、房屋及构筑物报废时，由其使用</w:t>
      </w:r>
      <w:r>
        <w:rPr>
          <w:spacing w:val="-10"/>
          <w:sz w:val="32"/>
        </w:rPr>
        <w:t>单位填写《固定资产处置报告单》并出具专项报告，财务部门按规定程序报经上级主管部门审批后办理处置、拆除和注销手续。</w:t>
      </w:r>
    </w:p>
    <w:p>
      <w:pPr>
        <w:pStyle w:val="BodyText"/>
        <w:spacing w:line="364" w:lineRule="auto" w:before="2"/>
        <w:ind w:left="346" w:right="318" w:firstLine="640"/>
      </w:pPr>
      <w:r>
        <w:rPr/>
        <w:pict>
          <v:line style="position:absolute;mso-position-horizontal-relative:page;mso-position-vertical-relative:paragraph;z-index:251678720" from="70.349998pt,150.710007pt" to="70.349998pt,197.510007pt" stroked="true" strokeweight="0pt" strokecolor="#000000">
            <v:stroke dashstyle="solid"/>
            <w10:wrap type="none"/>
          </v:line>
        </w:pict>
      </w:r>
      <w:r>
        <w:rPr>
          <w:b/>
          <w:spacing w:val="2"/>
        </w:rPr>
        <w:t>第四十三条 </w:t>
      </w:r>
      <w:r>
        <w:rPr/>
        <w:t>固定资产实行每季度定期对账制度，固定资产</w:t>
      </w:r>
      <w:r>
        <w:rPr>
          <w:spacing w:val="-5"/>
        </w:rPr>
        <w:t>管理科和计财处每季度将实物明细账和财务明细账进行核对，确</w:t>
      </w:r>
      <w:r>
        <w:rPr>
          <w:spacing w:val="-13"/>
        </w:rPr>
        <w:t>保账账相符。各单位要按要求及时组织资产管理员办理固定资产的增加、注销手续，做好固定资产账务管理，定期核对账、物， 保证账账、账实相符。</w:t>
      </w:r>
    </w:p>
    <w:p>
      <w:pPr>
        <w:pStyle w:val="BodyText"/>
        <w:spacing w:before="160"/>
        <w:ind w:left="1028" w:right="1115"/>
        <w:jc w:val="center"/>
        <w:rPr>
          <w:rFonts w:ascii="黑体" w:eastAsia="黑体" w:hint="eastAsia"/>
        </w:rPr>
      </w:pPr>
      <w:r>
        <w:rPr>
          <w:rFonts w:ascii="黑体" w:eastAsia="黑体" w:hint="eastAsia"/>
        </w:rPr>
        <w:t>第八章</w:t>
      </w:r>
      <w:r>
        <w:rPr>
          <w:rFonts w:ascii="黑体" w:eastAsia="黑体" w:hint="eastAsia"/>
          <w:spacing w:val="158"/>
          <w:u w:val="single" w:color="FF0101"/>
        </w:rPr>
        <w:t> </w:t>
      </w:r>
      <w:r>
        <w:rPr>
          <w:rFonts w:ascii="黑体" w:eastAsia="黑体" w:hint="eastAsia"/>
        </w:rPr>
        <w:t>固定资产清查</w:t>
      </w:r>
    </w:p>
    <w:p>
      <w:pPr>
        <w:pStyle w:val="BodyText"/>
        <w:spacing w:before="8"/>
        <w:rPr>
          <w:rFonts w:ascii="黑体"/>
          <w:sz w:val="24"/>
        </w:rPr>
      </w:pPr>
    </w:p>
    <w:p>
      <w:pPr>
        <w:pStyle w:val="BodyText"/>
        <w:spacing w:line="364" w:lineRule="auto" w:before="54"/>
        <w:ind w:left="346" w:right="274" w:firstLine="640"/>
        <w:jc w:val="both"/>
      </w:pPr>
      <w:r>
        <w:rPr>
          <w:b/>
          <w:spacing w:val="2"/>
        </w:rPr>
        <w:t>第四十四条 </w:t>
      </w:r>
      <w:r>
        <w:rPr/>
        <w:t>每年年底由总务处、计划财务处组织各部门资</w:t>
      </w:r>
      <w:r>
        <w:rPr>
          <w:spacing w:val="-17"/>
        </w:rPr>
        <w:t>产管理人员进行资产清查，做到账账相符，账卡相符，账物相符；</w:t>
      </w:r>
    </w:p>
    <w:p>
      <w:pPr>
        <w:pStyle w:val="BodyText"/>
        <w:spacing w:line="364" w:lineRule="auto" w:before="2"/>
        <w:ind w:left="346" w:right="431" w:firstLine="640"/>
        <w:jc w:val="both"/>
      </w:pPr>
      <w:r>
        <w:rPr>
          <w:b/>
          <w:spacing w:val="3"/>
        </w:rPr>
        <w:t>第四十五条 </w:t>
      </w:r>
      <w:r>
        <w:rPr/>
        <w:t>在固定资产清查时，发生盘亏、盘盈情况，要</w:t>
      </w:r>
      <w:r>
        <w:rPr>
          <w:spacing w:val="-11"/>
        </w:rPr>
        <w:t>及时查明原因，对盘盈的固定资产须经主管部门批准后按重置完</w:t>
      </w:r>
      <w:r>
        <w:rPr>
          <w:spacing w:val="-15"/>
        </w:rPr>
        <w:t>全价增加固定资产。对盘亏的固定资产查明原因后单位提出处理意见，按审批程序报批，未经批准，不得擅自进行账务处理。</w:t>
      </w:r>
    </w:p>
    <w:p>
      <w:pPr>
        <w:pStyle w:val="BodyText"/>
        <w:tabs>
          <w:tab w:pos="1259" w:val="left" w:leader="none"/>
        </w:tabs>
        <w:spacing w:before="159"/>
        <w:ind w:right="85"/>
        <w:jc w:val="center"/>
        <w:rPr>
          <w:rFonts w:ascii="黑体" w:eastAsia="黑体" w:hint="eastAsia"/>
        </w:rPr>
      </w:pPr>
      <w:r>
        <w:rPr>
          <w:rFonts w:ascii="黑体" w:eastAsia="黑体" w:hint="eastAsia"/>
        </w:rPr>
        <w:t>第九章</w:t>
        <w:tab/>
        <w:t>固定资产管理考核细则</w:t>
      </w:r>
    </w:p>
    <w:p>
      <w:pPr>
        <w:pStyle w:val="BodyText"/>
        <w:spacing w:before="11"/>
        <w:rPr>
          <w:rFonts w:ascii="黑体"/>
          <w:sz w:val="28"/>
        </w:rPr>
      </w:pPr>
    </w:p>
    <w:p>
      <w:pPr>
        <w:pStyle w:val="BodyText"/>
        <w:spacing w:line="364" w:lineRule="auto" w:before="1"/>
        <w:ind w:left="346" w:right="431" w:firstLine="640"/>
        <w:jc w:val="both"/>
      </w:pPr>
      <w:r>
        <w:rPr>
          <w:b/>
          <w:spacing w:val="2"/>
        </w:rPr>
        <w:t>第四十六条 </w:t>
      </w:r>
      <w:r>
        <w:rPr/>
        <w:t>固定资产是学院的重要组成部分，是重要的办</w:t>
      </w:r>
      <w:r>
        <w:rPr>
          <w:spacing w:val="-10"/>
          <w:w w:val="95"/>
        </w:rPr>
        <w:t>学资源，资产管理部门、使用部门以及工作人员，都有管好、用 </w:t>
      </w:r>
      <w:r>
        <w:rPr>
          <w:spacing w:val="-16"/>
          <w:w w:val="95"/>
        </w:rPr>
        <w:t>好固定资产的义务和责任，维护其安全、完整。为使固定资产管</w:t>
      </w:r>
    </w:p>
    <w:p>
      <w:pPr>
        <w:spacing w:after="0" w:line="364" w:lineRule="auto"/>
        <w:jc w:val="both"/>
        <w:sectPr>
          <w:pgSz w:w="11910" w:h="16840"/>
          <w:pgMar w:header="0" w:footer="1487" w:top="1580" w:bottom="1680" w:left="1240" w:right="1040"/>
        </w:sectPr>
      </w:pPr>
    </w:p>
    <w:p>
      <w:pPr>
        <w:pStyle w:val="BodyText"/>
        <w:rPr>
          <w:sz w:val="20"/>
        </w:rPr>
      </w:pPr>
    </w:p>
    <w:p>
      <w:pPr>
        <w:pStyle w:val="BodyText"/>
        <w:spacing w:before="2"/>
        <w:rPr>
          <w:sz w:val="23"/>
        </w:rPr>
      </w:pPr>
    </w:p>
    <w:p>
      <w:pPr>
        <w:pStyle w:val="BodyText"/>
        <w:spacing w:before="55"/>
        <w:ind w:left="346"/>
      </w:pPr>
      <w:r>
        <w:rPr/>
        <w:t>理工作落到实处，特制定如下固定资产管理考核细则。</w:t>
      </w:r>
    </w:p>
    <w:p>
      <w:pPr>
        <w:spacing w:before="152"/>
        <w:ind w:left="3624" w:right="0" w:firstLine="0"/>
        <w:jc w:val="left"/>
        <w:rPr>
          <w:rFonts w:ascii="黑体" w:eastAsia="黑体" w:hint="eastAsia"/>
          <w:sz w:val="24"/>
        </w:rPr>
      </w:pPr>
      <w:r>
        <w:rPr/>
        <w:pict>
          <v:shape style="position:absolute;margin-left:535.5pt;margin-top:164.341034pt;width:.1pt;height:393.7pt;mso-position-horizontal-relative:page;mso-position-vertical-relative:paragraph;z-index:251679744" coordorigin="10710,3287" coordsize="0,7874" path="m10710,445l10710,814m10710,814l10710,1254m10710,1254l10710,2119m10710,2119l10710,2474m10710,2474l10710,3103m10710,3103l10710,3734m10710,3734l10710,4284m10710,4284l10710,4913m10710,4913l10710,5579m10710,5579l10710,7089m10710,7089l10710,7699m10710,7699l10710,8319e" filled="false" stroked="true" strokeweight="0pt" strokecolor="#000000">
            <v:path arrowok="t"/>
            <v:stroke dashstyle="solid"/>
            <w10:wrap type="none"/>
          </v:shape>
        </w:pict>
      </w:r>
      <w:r>
        <w:rPr>
          <w:rFonts w:ascii="黑体" w:eastAsia="黑体" w:hint="eastAsia"/>
          <w:sz w:val="24"/>
        </w:rPr>
        <w:t>固定资产管理考核细则</w:t>
      </w: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3"/>
        <w:gridCol w:w="660"/>
        <w:gridCol w:w="3637"/>
        <w:gridCol w:w="3941"/>
      </w:tblGrid>
      <w:tr>
        <w:trPr>
          <w:trHeight w:val="359" w:hRule="atLeast"/>
        </w:trPr>
        <w:tc>
          <w:tcPr>
            <w:tcW w:w="803" w:type="dxa"/>
          </w:tcPr>
          <w:p>
            <w:pPr>
              <w:pStyle w:val="TableParagraph"/>
              <w:spacing w:line="306" w:lineRule="exact" w:before="33"/>
              <w:ind w:left="159"/>
              <w:rPr>
                <w:b/>
                <w:sz w:val="24"/>
              </w:rPr>
            </w:pPr>
            <w:r>
              <w:rPr>
                <w:b/>
                <w:sz w:val="24"/>
              </w:rPr>
              <w:t>项目</w:t>
            </w:r>
          </w:p>
        </w:tc>
        <w:tc>
          <w:tcPr>
            <w:tcW w:w="660" w:type="dxa"/>
          </w:tcPr>
          <w:p>
            <w:pPr>
              <w:pStyle w:val="TableParagraph"/>
              <w:spacing w:line="306" w:lineRule="exact" w:before="33"/>
              <w:ind w:left="88"/>
              <w:rPr>
                <w:b/>
                <w:sz w:val="24"/>
              </w:rPr>
            </w:pPr>
            <w:r>
              <w:rPr>
                <w:b/>
                <w:sz w:val="24"/>
              </w:rPr>
              <w:t>分值</w:t>
            </w:r>
          </w:p>
        </w:tc>
        <w:tc>
          <w:tcPr>
            <w:tcW w:w="3637" w:type="dxa"/>
          </w:tcPr>
          <w:p>
            <w:pPr>
              <w:pStyle w:val="TableParagraph"/>
              <w:spacing w:line="306" w:lineRule="exact" w:before="33"/>
              <w:ind w:left="1373" w:right="1250"/>
              <w:jc w:val="center"/>
              <w:rPr>
                <w:b/>
                <w:sz w:val="24"/>
              </w:rPr>
            </w:pPr>
            <w:r>
              <w:rPr>
                <w:b/>
                <w:sz w:val="24"/>
              </w:rPr>
              <w:t>考核内容</w:t>
            </w:r>
          </w:p>
        </w:tc>
        <w:tc>
          <w:tcPr>
            <w:tcW w:w="3941" w:type="dxa"/>
          </w:tcPr>
          <w:p>
            <w:pPr>
              <w:pStyle w:val="TableParagraph"/>
              <w:spacing w:line="306" w:lineRule="exact" w:before="33"/>
              <w:ind w:left="637"/>
              <w:rPr>
                <w:b/>
                <w:sz w:val="24"/>
              </w:rPr>
            </w:pPr>
            <w:r>
              <w:rPr>
                <w:b/>
                <w:sz w:val="24"/>
              </w:rPr>
              <w:t>管理考核实施细则评分标准</w:t>
            </w:r>
          </w:p>
        </w:tc>
      </w:tr>
      <w:tr>
        <w:trPr>
          <w:trHeight w:val="430" w:hRule="atLeast"/>
        </w:trPr>
        <w:tc>
          <w:tcPr>
            <w:tcW w:w="803" w:type="dxa"/>
            <w:vMerge w:val="restart"/>
          </w:tcPr>
          <w:p>
            <w:pPr>
              <w:pStyle w:val="TableParagraph"/>
              <w:ind w:left="0"/>
              <w:rPr>
                <w:rFonts w:ascii="黑体"/>
                <w:sz w:val="20"/>
              </w:rPr>
            </w:pPr>
          </w:p>
          <w:p>
            <w:pPr>
              <w:pStyle w:val="TableParagraph"/>
              <w:spacing w:line="266" w:lineRule="auto" w:before="134"/>
              <w:ind w:left="3" w:right="-15"/>
              <w:jc w:val="center"/>
              <w:rPr>
                <w:sz w:val="21"/>
              </w:rPr>
            </w:pPr>
            <w:r>
              <w:rPr>
                <w:spacing w:val="-12"/>
                <w:sz w:val="21"/>
              </w:rPr>
              <w:t>一、基础管理工作</w:t>
            </w:r>
          </w:p>
        </w:tc>
        <w:tc>
          <w:tcPr>
            <w:tcW w:w="660" w:type="dxa"/>
            <w:vMerge w:val="restart"/>
          </w:tcPr>
          <w:p>
            <w:pPr>
              <w:pStyle w:val="TableParagraph"/>
              <w:ind w:left="0"/>
              <w:rPr>
                <w:rFonts w:ascii="黑体"/>
                <w:sz w:val="20"/>
              </w:rPr>
            </w:pPr>
          </w:p>
          <w:p>
            <w:pPr>
              <w:pStyle w:val="TableParagraph"/>
              <w:ind w:left="0"/>
              <w:rPr>
                <w:rFonts w:ascii="黑体"/>
                <w:sz w:val="20"/>
              </w:rPr>
            </w:pPr>
          </w:p>
          <w:p>
            <w:pPr>
              <w:pStyle w:val="TableParagraph"/>
              <w:spacing w:before="178"/>
              <w:ind w:left="225"/>
              <w:rPr>
                <w:sz w:val="21"/>
              </w:rPr>
            </w:pPr>
            <w:r>
              <w:rPr>
                <w:sz w:val="21"/>
              </w:rPr>
              <w:t>20</w:t>
            </w:r>
          </w:p>
        </w:tc>
        <w:tc>
          <w:tcPr>
            <w:tcW w:w="3637" w:type="dxa"/>
          </w:tcPr>
          <w:p>
            <w:pPr>
              <w:pStyle w:val="TableParagraph"/>
              <w:spacing w:before="80"/>
              <w:ind w:left="4"/>
              <w:rPr>
                <w:sz w:val="21"/>
              </w:rPr>
            </w:pPr>
            <w:r>
              <w:rPr>
                <w:sz w:val="21"/>
              </w:rPr>
              <w:t>1、熟悉和掌握资产管理办法和规章度</w:t>
            </w:r>
          </w:p>
        </w:tc>
        <w:tc>
          <w:tcPr>
            <w:tcW w:w="3941" w:type="dxa"/>
          </w:tcPr>
          <w:p>
            <w:pPr>
              <w:pStyle w:val="TableParagraph"/>
              <w:spacing w:before="80"/>
              <w:ind w:left="3"/>
              <w:rPr>
                <w:sz w:val="21"/>
              </w:rPr>
            </w:pPr>
            <w:r>
              <w:rPr>
                <w:sz w:val="21"/>
              </w:rPr>
              <w:t>不熟悉的扣 5 分</w:t>
            </w:r>
          </w:p>
        </w:tc>
      </w:tr>
      <w:tr>
        <w:trPr>
          <w:trHeight w:val="855"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line="266" w:lineRule="auto" w:before="142"/>
              <w:ind w:left="4" w:right="-15"/>
              <w:rPr>
                <w:sz w:val="21"/>
              </w:rPr>
            </w:pPr>
            <w:r>
              <w:rPr>
                <w:sz w:val="21"/>
              </w:rPr>
              <w:t>2</w:t>
            </w:r>
            <w:r>
              <w:rPr>
                <w:spacing w:val="-7"/>
                <w:sz w:val="21"/>
              </w:rPr>
              <w:t>、根据学院资产管理的要求，对本部门固定资产定期作好账、卡、物的登记</w:t>
            </w:r>
          </w:p>
        </w:tc>
        <w:tc>
          <w:tcPr>
            <w:tcW w:w="3941" w:type="dxa"/>
          </w:tcPr>
          <w:p>
            <w:pPr>
              <w:pStyle w:val="TableParagraph"/>
              <w:spacing w:before="142"/>
              <w:ind w:left="3" w:right="-15"/>
              <w:rPr>
                <w:sz w:val="21"/>
              </w:rPr>
            </w:pPr>
            <w:r>
              <w:rPr>
                <w:spacing w:val="-8"/>
                <w:sz w:val="21"/>
              </w:rPr>
              <w:t>按下发的要求做，未做到的扣 </w:t>
            </w:r>
            <w:r>
              <w:rPr>
                <w:sz w:val="21"/>
              </w:rPr>
              <w:t>2</w:t>
            </w:r>
            <w:r>
              <w:rPr>
                <w:spacing w:val="-15"/>
                <w:sz w:val="21"/>
              </w:rPr>
              <w:t> 分；未设立</w:t>
            </w:r>
          </w:p>
          <w:p>
            <w:pPr>
              <w:pStyle w:val="TableParagraph"/>
              <w:spacing w:before="31"/>
              <w:ind w:left="3"/>
              <w:rPr>
                <w:sz w:val="21"/>
              </w:rPr>
            </w:pPr>
            <w:r>
              <w:rPr>
                <w:sz w:val="21"/>
              </w:rPr>
              <w:t>明细账簿和固定资产卡片的扣 2 分</w:t>
            </w:r>
          </w:p>
        </w:tc>
      </w:tr>
      <w:tr>
        <w:trPr>
          <w:trHeight w:val="345"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before="38"/>
              <w:ind w:left="4"/>
              <w:rPr>
                <w:sz w:val="21"/>
              </w:rPr>
            </w:pPr>
            <w:r>
              <w:rPr>
                <w:sz w:val="21"/>
              </w:rPr>
              <w:t>3 对材料用品入库验收、出库办理手续</w:t>
            </w:r>
          </w:p>
        </w:tc>
        <w:tc>
          <w:tcPr>
            <w:tcW w:w="3941" w:type="dxa"/>
          </w:tcPr>
          <w:p>
            <w:pPr>
              <w:pStyle w:val="TableParagraph"/>
              <w:spacing w:before="38"/>
              <w:ind w:left="3"/>
              <w:rPr>
                <w:sz w:val="21"/>
              </w:rPr>
            </w:pPr>
            <w:r>
              <w:rPr>
                <w:sz w:val="21"/>
              </w:rPr>
              <w:t>未按要求的扣 2 分</w:t>
            </w:r>
          </w:p>
        </w:tc>
      </w:tr>
      <w:tr>
        <w:trPr>
          <w:trHeight w:val="259" w:hRule="atLeast"/>
        </w:trPr>
        <w:tc>
          <w:tcPr>
            <w:tcW w:w="803" w:type="dxa"/>
            <w:tcBorders>
              <w:bottom w:val="single" w:sz="4" w:space="0" w:color="FF0101"/>
            </w:tcBorders>
          </w:tcPr>
          <w:p>
            <w:pPr>
              <w:pStyle w:val="TableParagraph"/>
              <w:spacing w:line="222" w:lineRule="exact" w:before="16"/>
              <w:ind w:left="-71"/>
              <w:rPr>
                <w:sz w:val="21"/>
              </w:rPr>
            </w:pPr>
            <w:r>
              <w:rPr>
                <w:color w:val="FF0101"/>
                <w:sz w:val="21"/>
              </w:rPr>
              <w:t>二、</w:t>
            </w:r>
            <w:r>
              <w:rPr>
                <w:strike/>
                <w:color w:val="FF0101"/>
                <w:sz w:val="21"/>
              </w:rPr>
              <w:t>二、</w:t>
            </w:r>
          </w:p>
        </w:tc>
        <w:tc>
          <w:tcPr>
            <w:tcW w:w="660" w:type="dxa"/>
            <w:tcBorders>
              <w:bottom w:val="nil"/>
            </w:tcBorders>
          </w:tcPr>
          <w:p>
            <w:pPr>
              <w:pStyle w:val="TableParagraph"/>
              <w:ind w:left="0"/>
              <w:rPr>
                <w:rFonts w:ascii="Times New Roman"/>
                <w:sz w:val="18"/>
              </w:rPr>
            </w:pPr>
          </w:p>
        </w:tc>
        <w:tc>
          <w:tcPr>
            <w:tcW w:w="3637" w:type="dxa"/>
            <w:tcBorders>
              <w:bottom w:val="nil"/>
            </w:tcBorders>
          </w:tcPr>
          <w:p>
            <w:pPr>
              <w:pStyle w:val="TableParagraph"/>
              <w:spacing w:line="215" w:lineRule="exact" w:before="24"/>
              <w:ind w:left="4"/>
              <w:rPr>
                <w:sz w:val="21"/>
              </w:rPr>
            </w:pPr>
            <w:r>
              <w:rPr>
                <w:sz w:val="21"/>
              </w:rPr>
              <w:t>4、基础信息资料填报、归类及时完整</w:t>
            </w:r>
          </w:p>
        </w:tc>
        <w:tc>
          <w:tcPr>
            <w:tcW w:w="3941" w:type="dxa"/>
            <w:tcBorders>
              <w:bottom w:val="nil"/>
            </w:tcBorders>
          </w:tcPr>
          <w:p>
            <w:pPr>
              <w:pStyle w:val="TableParagraph"/>
              <w:spacing w:line="215" w:lineRule="exact" w:before="24"/>
              <w:ind w:left="-167"/>
              <w:rPr>
                <w:sz w:val="21"/>
              </w:rPr>
            </w:pPr>
            <w:r>
              <w:rPr>
                <w:w w:val="99"/>
                <w:sz w:val="21"/>
              </w:rPr>
              <w:t>，</w:t>
            </w:r>
          </w:p>
        </w:tc>
      </w:tr>
      <w:tr>
        <w:trPr>
          <w:trHeight w:val="349" w:hRule="atLeast"/>
        </w:trPr>
        <w:tc>
          <w:tcPr>
            <w:tcW w:w="803" w:type="dxa"/>
            <w:vMerge w:val="restart"/>
            <w:tcBorders>
              <w:top w:val="single" w:sz="4" w:space="0" w:color="FF0101"/>
            </w:tcBorders>
          </w:tcPr>
          <w:p>
            <w:pPr>
              <w:pStyle w:val="TableParagraph"/>
              <w:spacing w:line="300" w:lineRule="atLeast" w:before="16"/>
              <w:ind w:left="3" w:right="76" w:firstLine="81"/>
              <w:rPr>
                <w:sz w:val="21"/>
              </w:rPr>
            </w:pPr>
            <w:r>
              <w:rPr>
                <w:sz w:val="21"/>
              </w:rPr>
              <w:t>固定资产的</w:t>
            </w:r>
            <w:r>
              <w:rPr>
                <w:color w:val="FF0101"/>
                <w:sz w:val="21"/>
                <w:u w:val="single" w:color="FF0101"/>
              </w:rPr>
              <w:t>- </w:t>
            </w:r>
            <w:r>
              <w:rPr>
                <w:sz w:val="21"/>
              </w:rPr>
              <w:t>账、卡物的建立情况</w:t>
            </w:r>
          </w:p>
        </w:tc>
        <w:tc>
          <w:tcPr>
            <w:tcW w:w="660" w:type="dxa"/>
            <w:vMerge w:val="restart"/>
            <w:tcBorders>
              <w:top w:val="nil"/>
            </w:tcBorders>
          </w:tcPr>
          <w:p>
            <w:pPr>
              <w:pStyle w:val="TableParagraph"/>
              <w:ind w:left="0"/>
              <w:rPr>
                <w:rFonts w:ascii="黑体"/>
                <w:sz w:val="20"/>
              </w:rPr>
            </w:pPr>
          </w:p>
          <w:p>
            <w:pPr>
              <w:pStyle w:val="TableParagraph"/>
              <w:spacing w:before="9"/>
              <w:ind w:left="0"/>
              <w:rPr>
                <w:rFonts w:ascii="黑体"/>
                <w:sz w:val="18"/>
              </w:rPr>
            </w:pPr>
          </w:p>
          <w:p>
            <w:pPr>
              <w:pStyle w:val="TableParagraph"/>
              <w:spacing w:line="210" w:lineRule="exact"/>
              <w:ind w:left="225"/>
              <w:rPr>
                <w:sz w:val="21"/>
              </w:rPr>
            </w:pPr>
            <w:r>
              <w:rPr>
                <w:sz w:val="21"/>
              </w:rPr>
              <w:t>30</w:t>
            </w:r>
          </w:p>
          <w:p>
            <w:pPr>
              <w:pStyle w:val="TableParagraph"/>
              <w:spacing w:line="210" w:lineRule="exact"/>
              <w:ind w:left="-169"/>
              <w:rPr>
                <w:sz w:val="21"/>
              </w:rPr>
            </w:pPr>
            <w:r>
              <w:rPr>
                <w:w w:val="99"/>
                <w:sz w:val="21"/>
              </w:rPr>
              <w:t>、</w:t>
            </w:r>
          </w:p>
        </w:tc>
        <w:tc>
          <w:tcPr>
            <w:tcW w:w="3637" w:type="dxa"/>
            <w:tcBorders>
              <w:top w:val="nil"/>
            </w:tcBorders>
          </w:tcPr>
          <w:p>
            <w:pPr>
              <w:pStyle w:val="TableParagraph"/>
              <w:spacing w:before="54"/>
              <w:ind w:left="4"/>
              <w:rPr>
                <w:sz w:val="21"/>
              </w:rPr>
            </w:pPr>
            <w:r>
              <w:rPr>
                <w:sz w:val="21"/>
              </w:rPr>
              <w:t>档案保管完好</w:t>
            </w:r>
          </w:p>
        </w:tc>
        <w:tc>
          <w:tcPr>
            <w:tcW w:w="3941" w:type="dxa"/>
            <w:tcBorders>
              <w:top w:val="nil"/>
            </w:tcBorders>
          </w:tcPr>
          <w:p>
            <w:pPr>
              <w:pStyle w:val="TableParagraph"/>
              <w:spacing w:line="175" w:lineRule="exact"/>
              <w:ind w:left="3"/>
              <w:rPr>
                <w:sz w:val="21"/>
              </w:rPr>
            </w:pPr>
            <w:r>
              <w:rPr>
                <w:sz w:val="21"/>
              </w:rPr>
              <w:t>不按要求保管的扣 2 分；</w:t>
            </w:r>
          </w:p>
        </w:tc>
      </w:tr>
      <w:tr>
        <w:trPr>
          <w:trHeight w:val="621"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before="26"/>
              <w:ind w:left="4" w:right="-15"/>
              <w:rPr>
                <w:sz w:val="21"/>
              </w:rPr>
            </w:pPr>
            <w:r>
              <w:rPr>
                <w:spacing w:val="3"/>
                <w:sz w:val="21"/>
              </w:rPr>
              <w:t>5</w:t>
            </w:r>
            <w:r>
              <w:rPr>
                <w:sz w:val="21"/>
              </w:rPr>
              <w:t>、资产登记完整、及时， 数据口径一</w:t>
            </w:r>
          </w:p>
          <w:p>
            <w:pPr>
              <w:pStyle w:val="TableParagraph"/>
              <w:spacing w:before="31"/>
              <w:ind w:left="4"/>
              <w:rPr>
                <w:sz w:val="21"/>
              </w:rPr>
            </w:pPr>
            <w:r>
              <w:rPr>
                <w:sz w:val="21"/>
              </w:rPr>
              <w:t>致、准确</w:t>
            </w:r>
          </w:p>
        </w:tc>
        <w:tc>
          <w:tcPr>
            <w:tcW w:w="3941" w:type="dxa"/>
          </w:tcPr>
          <w:p>
            <w:pPr>
              <w:pStyle w:val="TableParagraph"/>
              <w:spacing w:before="26"/>
              <w:ind w:left="3" w:right="-15"/>
              <w:rPr>
                <w:sz w:val="21"/>
              </w:rPr>
            </w:pPr>
            <w:r>
              <w:rPr>
                <w:sz w:val="21"/>
              </w:rPr>
              <w:t>未登记完整、及时的各扣 2 分清查时，出</w:t>
            </w:r>
          </w:p>
          <w:p>
            <w:pPr>
              <w:pStyle w:val="TableParagraph"/>
              <w:spacing w:before="31"/>
              <w:ind w:left="3"/>
              <w:rPr>
                <w:sz w:val="21"/>
              </w:rPr>
            </w:pPr>
            <w:r>
              <w:rPr>
                <w:sz w:val="21"/>
              </w:rPr>
              <w:t>现账、卡、物不相符的扣 2 分</w:t>
            </w:r>
          </w:p>
        </w:tc>
      </w:tr>
      <w:tr>
        <w:trPr>
          <w:trHeight w:val="540"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before="136"/>
              <w:ind w:left="4"/>
              <w:rPr>
                <w:sz w:val="21"/>
              </w:rPr>
            </w:pPr>
            <w:r>
              <w:rPr>
                <w:sz w:val="21"/>
              </w:rPr>
              <w:t>6、及时建立有关资产的台账</w:t>
            </w:r>
          </w:p>
        </w:tc>
        <w:tc>
          <w:tcPr>
            <w:tcW w:w="3941" w:type="dxa"/>
          </w:tcPr>
          <w:p>
            <w:pPr>
              <w:pStyle w:val="TableParagraph"/>
              <w:spacing w:before="136"/>
              <w:ind w:left="3"/>
              <w:rPr>
                <w:sz w:val="21"/>
              </w:rPr>
            </w:pPr>
            <w:r>
              <w:rPr>
                <w:sz w:val="21"/>
              </w:rPr>
              <w:t>未及时建立的扣 5 分</w:t>
            </w:r>
          </w:p>
        </w:tc>
      </w:tr>
      <w:tr>
        <w:trPr>
          <w:trHeight w:val="618" w:hRule="atLeast"/>
        </w:trPr>
        <w:tc>
          <w:tcPr>
            <w:tcW w:w="803" w:type="dxa"/>
            <w:vMerge w:val="restart"/>
          </w:tcPr>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spacing w:line="266" w:lineRule="auto" w:before="141"/>
              <w:ind w:left="85" w:right="24" w:hanging="156"/>
              <w:jc w:val="both"/>
              <w:rPr>
                <w:sz w:val="21"/>
              </w:rPr>
            </w:pPr>
            <w:r>
              <w:rPr>
                <w:sz w:val="21"/>
              </w:rPr>
              <w:t>三、固定资产管理开展情况</w:t>
            </w:r>
          </w:p>
        </w:tc>
        <w:tc>
          <w:tcPr>
            <w:tcW w:w="660" w:type="dxa"/>
            <w:vMerge w:val="restart"/>
          </w:tcPr>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ind w:left="0"/>
              <w:rPr>
                <w:rFonts w:ascii="黑体"/>
                <w:sz w:val="26"/>
              </w:rPr>
            </w:pPr>
          </w:p>
          <w:p>
            <w:pPr>
              <w:pStyle w:val="TableParagraph"/>
              <w:spacing w:before="1"/>
              <w:ind w:left="225"/>
              <w:rPr>
                <w:sz w:val="21"/>
              </w:rPr>
            </w:pPr>
            <w:r>
              <w:rPr>
                <w:sz w:val="21"/>
              </w:rPr>
              <w:t>50</w:t>
            </w:r>
          </w:p>
        </w:tc>
        <w:tc>
          <w:tcPr>
            <w:tcW w:w="3637" w:type="dxa"/>
          </w:tcPr>
          <w:p>
            <w:pPr>
              <w:pStyle w:val="TableParagraph"/>
              <w:spacing w:before="174"/>
              <w:ind w:left="4"/>
              <w:rPr>
                <w:sz w:val="21"/>
              </w:rPr>
            </w:pPr>
            <w:r>
              <w:rPr>
                <w:sz w:val="21"/>
              </w:rPr>
              <w:t>7、及时做好每年资产购置的申报</w:t>
            </w:r>
          </w:p>
        </w:tc>
        <w:tc>
          <w:tcPr>
            <w:tcW w:w="3941" w:type="dxa"/>
          </w:tcPr>
          <w:p>
            <w:pPr>
              <w:pStyle w:val="TableParagraph"/>
              <w:spacing w:before="23"/>
              <w:ind w:left="3" w:right="-15"/>
              <w:rPr>
                <w:sz w:val="21"/>
              </w:rPr>
            </w:pPr>
            <w:r>
              <w:rPr>
                <w:sz w:val="21"/>
              </w:rPr>
              <w:t>未及时填报的扣 2 分；未按规定时间申报</w:t>
            </w:r>
          </w:p>
          <w:p>
            <w:pPr>
              <w:pStyle w:val="TableParagraph"/>
              <w:spacing w:before="31"/>
              <w:ind w:left="3"/>
              <w:rPr>
                <w:sz w:val="21"/>
              </w:rPr>
            </w:pPr>
            <w:r>
              <w:rPr>
                <w:sz w:val="21"/>
              </w:rPr>
              <w:t>购置计划扣 2 分</w:t>
            </w:r>
          </w:p>
        </w:tc>
      </w:tr>
      <w:tr>
        <w:trPr>
          <w:trHeight w:val="656"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before="1"/>
              <w:ind w:left="0"/>
              <w:rPr>
                <w:rFonts w:ascii="黑体"/>
                <w:sz w:val="15"/>
              </w:rPr>
            </w:pPr>
          </w:p>
          <w:p>
            <w:pPr>
              <w:pStyle w:val="TableParagraph"/>
              <w:ind w:left="4" w:right="-15"/>
              <w:rPr>
                <w:sz w:val="21"/>
              </w:rPr>
            </w:pPr>
            <w:r>
              <w:rPr>
                <w:sz w:val="21"/>
              </w:rPr>
              <w:t>8</w:t>
            </w:r>
            <w:r>
              <w:rPr>
                <w:spacing w:val="-8"/>
                <w:sz w:val="21"/>
              </w:rPr>
              <w:t>、认真填报固定资产的报损或报废手续</w:t>
            </w:r>
          </w:p>
        </w:tc>
        <w:tc>
          <w:tcPr>
            <w:tcW w:w="3941" w:type="dxa"/>
          </w:tcPr>
          <w:p>
            <w:pPr>
              <w:pStyle w:val="TableParagraph"/>
              <w:spacing w:before="42"/>
              <w:ind w:left="3" w:right="-15"/>
              <w:rPr>
                <w:sz w:val="21"/>
              </w:rPr>
            </w:pPr>
            <w:r>
              <w:rPr>
                <w:sz w:val="21"/>
              </w:rPr>
              <w:t>未按程序申请报废、报损扣 2 分，私自处</w:t>
            </w:r>
          </w:p>
          <w:p>
            <w:pPr>
              <w:pStyle w:val="TableParagraph"/>
              <w:spacing w:before="31"/>
              <w:ind w:left="3"/>
              <w:rPr>
                <w:sz w:val="21"/>
              </w:rPr>
            </w:pPr>
            <w:r>
              <w:rPr>
                <w:sz w:val="21"/>
              </w:rPr>
              <w:t>置固定资产行为扣 2 分。</w:t>
            </w:r>
          </w:p>
        </w:tc>
      </w:tr>
      <w:tr>
        <w:trPr>
          <w:trHeight w:val="1500"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ind w:left="0"/>
              <w:rPr>
                <w:rFonts w:ascii="黑体"/>
                <w:sz w:val="20"/>
              </w:rPr>
            </w:pPr>
          </w:p>
          <w:p>
            <w:pPr>
              <w:pStyle w:val="TableParagraph"/>
              <w:spacing w:before="12"/>
              <w:ind w:left="0"/>
              <w:rPr>
                <w:rFonts w:ascii="黑体"/>
                <w:sz w:val="27"/>
              </w:rPr>
            </w:pPr>
          </w:p>
          <w:p>
            <w:pPr>
              <w:pStyle w:val="TableParagraph"/>
              <w:ind w:left="4"/>
              <w:rPr>
                <w:sz w:val="21"/>
              </w:rPr>
            </w:pPr>
            <w:r>
              <w:rPr>
                <w:sz w:val="21"/>
              </w:rPr>
              <w:t>9、按要求对资产进行管理和维护</w:t>
            </w:r>
          </w:p>
        </w:tc>
        <w:tc>
          <w:tcPr>
            <w:tcW w:w="3941" w:type="dxa"/>
          </w:tcPr>
          <w:p>
            <w:pPr>
              <w:pStyle w:val="TableParagraph"/>
              <w:spacing w:before="15"/>
              <w:ind w:left="3"/>
              <w:jc w:val="both"/>
              <w:rPr>
                <w:sz w:val="21"/>
              </w:rPr>
            </w:pPr>
            <w:r>
              <w:rPr>
                <w:spacing w:val="-9"/>
                <w:sz w:val="21"/>
              </w:rPr>
              <w:t>不按说明要求使用和维护的扣 </w:t>
            </w:r>
            <w:r>
              <w:rPr>
                <w:sz w:val="21"/>
              </w:rPr>
              <w:t>2</w:t>
            </w:r>
            <w:r>
              <w:rPr>
                <w:spacing w:val="-16"/>
                <w:sz w:val="21"/>
              </w:rPr>
              <w:t> 分；固定资</w:t>
            </w:r>
          </w:p>
          <w:p>
            <w:pPr>
              <w:pStyle w:val="TableParagraph"/>
              <w:spacing w:before="31"/>
              <w:ind w:left="3"/>
              <w:jc w:val="both"/>
              <w:rPr>
                <w:sz w:val="21"/>
              </w:rPr>
            </w:pPr>
            <w:r>
              <w:rPr>
                <w:spacing w:val="-9"/>
                <w:sz w:val="21"/>
              </w:rPr>
              <w:t>产内部调剂，未按程序办理的扣 </w:t>
            </w:r>
            <w:r>
              <w:rPr>
                <w:sz w:val="21"/>
              </w:rPr>
              <w:t>2</w:t>
            </w:r>
            <w:r>
              <w:rPr>
                <w:spacing w:val="-21"/>
                <w:sz w:val="21"/>
              </w:rPr>
              <w:t> 分、未经</w:t>
            </w:r>
          </w:p>
          <w:p>
            <w:pPr>
              <w:pStyle w:val="TableParagraph"/>
              <w:spacing w:line="300" w:lineRule="atLeast"/>
              <w:ind w:left="3" w:right="-15"/>
              <w:jc w:val="both"/>
              <w:rPr>
                <w:sz w:val="21"/>
              </w:rPr>
            </w:pPr>
            <w:r>
              <w:rPr>
                <w:spacing w:val="6"/>
                <w:sz w:val="21"/>
              </w:rPr>
              <w:t>领导批准向外出租、出借固定资产的扣 </w:t>
            </w:r>
            <w:r>
              <w:rPr>
                <w:sz w:val="21"/>
              </w:rPr>
              <w:t>2 </w:t>
            </w:r>
            <w:r>
              <w:rPr>
                <w:spacing w:val="-3"/>
                <w:w w:val="95"/>
                <w:sz w:val="21"/>
              </w:rPr>
              <w:t>分、内部工作人员调动，未经领导批准发生</w:t>
            </w:r>
            <w:r>
              <w:rPr>
                <w:spacing w:val="-6"/>
                <w:sz w:val="21"/>
              </w:rPr>
              <w:t>私自截留和占用固定资产扣 </w:t>
            </w:r>
            <w:r>
              <w:rPr>
                <w:sz w:val="21"/>
              </w:rPr>
              <w:t>2</w:t>
            </w:r>
            <w:r>
              <w:rPr>
                <w:spacing w:val="-36"/>
                <w:sz w:val="21"/>
              </w:rPr>
              <w:t> 分</w:t>
            </w:r>
          </w:p>
        </w:tc>
      </w:tr>
      <w:tr>
        <w:trPr>
          <w:trHeight w:val="600"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before="14"/>
              <w:ind w:left="4" w:right="-15"/>
              <w:rPr>
                <w:sz w:val="21"/>
              </w:rPr>
            </w:pPr>
            <w:r>
              <w:rPr>
                <w:sz w:val="21"/>
              </w:rPr>
              <w:t>10</w:t>
            </w:r>
            <w:r>
              <w:rPr>
                <w:spacing w:val="3"/>
                <w:sz w:val="21"/>
              </w:rPr>
              <w:t>、按要求对新增资产进行账、卡和使</w:t>
            </w:r>
          </w:p>
          <w:p>
            <w:pPr>
              <w:pStyle w:val="TableParagraph"/>
              <w:spacing w:line="265" w:lineRule="exact" w:before="31"/>
              <w:ind w:left="4"/>
              <w:rPr>
                <w:sz w:val="21"/>
              </w:rPr>
            </w:pPr>
            <w:r>
              <w:rPr>
                <w:sz w:val="21"/>
              </w:rPr>
              <w:t>用人的登记</w:t>
            </w:r>
          </w:p>
        </w:tc>
        <w:tc>
          <w:tcPr>
            <w:tcW w:w="3941" w:type="dxa"/>
          </w:tcPr>
          <w:p>
            <w:pPr>
              <w:pStyle w:val="TableParagraph"/>
              <w:spacing w:before="14"/>
              <w:ind w:left="3" w:right="-15"/>
              <w:rPr>
                <w:sz w:val="21"/>
              </w:rPr>
            </w:pPr>
            <w:r>
              <w:rPr>
                <w:spacing w:val="-18"/>
                <w:sz w:val="21"/>
              </w:rPr>
              <w:t>不按要求的扣 </w:t>
            </w:r>
            <w:r>
              <w:rPr>
                <w:sz w:val="21"/>
              </w:rPr>
              <w:t>2</w:t>
            </w:r>
            <w:r>
              <w:rPr>
                <w:spacing w:val="-21"/>
                <w:sz w:val="21"/>
              </w:rPr>
              <w:t> 分；资产到位使用部门不办理</w:t>
            </w:r>
          </w:p>
          <w:p>
            <w:pPr>
              <w:pStyle w:val="TableParagraph"/>
              <w:spacing w:line="265" w:lineRule="exact" w:before="31"/>
              <w:ind w:left="3"/>
              <w:rPr>
                <w:sz w:val="21"/>
              </w:rPr>
            </w:pPr>
            <w:r>
              <w:rPr>
                <w:sz w:val="21"/>
              </w:rPr>
              <w:t>入账、建卡手续的扣 2 分</w:t>
            </w:r>
          </w:p>
        </w:tc>
      </w:tr>
      <w:tr>
        <w:trPr>
          <w:trHeight w:val="600" w:hRule="atLeast"/>
        </w:trPr>
        <w:tc>
          <w:tcPr>
            <w:tcW w:w="803" w:type="dxa"/>
            <w:vMerge/>
            <w:tcBorders>
              <w:top w:val="nil"/>
            </w:tcBorders>
          </w:tcPr>
          <w:p>
            <w:pPr>
              <w:rPr>
                <w:sz w:val="2"/>
                <w:szCs w:val="2"/>
              </w:rPr>
            </w:pPr>
          </w:p>
        </w:tc>
        <w:tc>
          <w:tcPr>
            <w:tcW w:w="660" w:type="dxa"/>
            <w:vMerge/>
            <w:tcBorders>
              <w:top w:val="nil"/>
            </w:tcBorders>
          </w:tcPr>
          <w:p>
            <w:pPr>
              <w:rPr>
                <w:sz w:val="2"/>
                <w:szCs w:val="2"/>
              </w:rPr>
            </w:pPr>
          </w:p>
        </w:tc>
        <w:tc>
          <w:tcPr>
            <w:tcW w:w="3637" w:type="dxa"/>
          </w:tcPr>
          <w:p>
            <w:pPr>
              <w:pStyle w:val="TableParagraph"/>
              <w:spacing w:before="165"/>
              <w:ind w:left="4"/>
              <w:rPr>
                <w:sz w:val="21"/>
              </w:rPr>
            </w:pPr>
            <w:r>
              <w:rPr>
                <w:sz w:val="21"/>
              </w:rPr>
              <w:t>11、及时上报资产的运行和使用况</w:t>
            </w:r>
          </w:p>
        </w:tc>
        <w:tc>
          <w:tcPr>
            <w:tcW w:w="3941" w:type="dxa"/>
          </w:tcPr>
          <w:p>
            <w:pPr>
              <w:pStyle w:val="TableParagraph"/>
              <w:spacing w:before="16"/>
              <w:ind w:left="3" w:right="-15"/>
              <w:rPr>
                <w:sz w:val="21"/>
              </w:rPr>
            </w:pPr>
            <w:r>
              <w:rPr>
                <w:spacing w:val="-17"/>
                <w:sz w:val="21"/>
              </w:rPr>
              <w:t>不按要求上报的扣 </w:t>
            </w:r>
            <w:r>
              <w:rPr>
                <w:sz w:val="21"/>
              </w:rPr>
              <w:t>2</w:t>
            </w:r>
            <w:r>
              <w:rPr>
                <w:spacing w:val="-22"/>
                <w:sz w:val="21"/>
              </w:rPr>
              <w:t> 分；对闲置一年以上的固</w:t>
            </w:r>
          </w:p>
          <w:p>
            <w:pPr>
              <w:pStyle w:val="TableParagraph"/>
              <w:spacing w:line="263" w:lineRule="exact" w:before="31"/>
              <w:ind w:left="3"/>
              <w:rPr>
                <w:sz w:val="21"/>
              </w:rPr>
            </w:pPr>
            <w:r>
              <w:rPr>
                <w:sz w:val="21"/>
              </w:rPr>
              <w:t>定资产未上报的扣 2 分</w:t>
            </w:r>
          </w:p>
        </w:tc>
      </w:tr>
    </w:tbl>
    <w:p>
      <w:pPr>
        <w:pStyle w:val="BodyText"/>
        <w:spacing w:before="6"/>
        <w:rPr>
          <w:rFonts w:ascii="黑体"/>
          <w:sz w:val="19"/>
        </w:rPr>
      </w:pPr>
    </w:p>
    <w:p>
      <w:pPr>
        <w:pStyle w:val="BodyText"/>
        <w:tabs>
          <w:tab w:pos="4927" w:val="left" w:leader="none"/>
          <w:tab w:pos="5568" w:val="left" w:leader="none"/>
        </w:tabs>
        <w:ind w:left="3648"/>
        <w:rPr>
          <w:rFonts w:ascii="黑体" w:eastAsia="黑体" w:hint="eastAsia"/>
        </w:rPr>
      </w:pPr>
      <w:r>
        <w:rPr>
          <w:rFonts w:ascii="黑体" w:eastAsia="黑体" w:hint="eastAsia"/>
        </w:rPr>
        <w:t>第十章</w:t>
        <w:tab/>
        <w:t>附</w:t>
        <w:tab/>
        <w:t>则</w:t>
      </w:r>
    </w:p>
    <w:p>
      <w:pPr>
        <w:pStyle w:val="BodyText"/>
        <w:spacing w:before="11"/>
        <w:rPr>
          <w:rFonts w:ascii="黑体"/>
          <w:sz w:val="28"/>
        </w:rPr>
      </w:pPr>
    </w:p>
    <w:p>
      <w:pPr>
        <w:pStyle w:val="BodyText"/>
        <w:spacing w:line="364" w:lineRule="auto"/>
        <w:ind w:left="346" w:right="270" w:firstLine="640"/>
      </w:pPr>
      <w:r>
        <w:rPr>
          <w:b/>
          <w:spacing w:val="-2"/>
        </w:rPr>
        <w:t>第四十七条 </w:t>
      </w:r>
      <w:r>
        <w:rPr>
          <w:spacing w:val="-10"/>
        </w:rPr>
        <w:t>本办法经学院党委会议批准、下发之日起施行。学院之前相关规定与本办法有抵触的，以本办法为准。</w:t>
      </w:r>
    </w:p>
    <w:p>
      <w:pPr>
        <w:spacing w:before="2"/>
        <w:ind w:left="987" w:right="0" w:firstLine="0"/>
        <w:jc w:val="left"/>
        <w:rPr>
          <w:sz w:val="32"/>
        </w:rPr>
      </w:pPr>
      <w:r>
        <w:rPr>
          <w:b/>
          <w:sz w:val="32"/>
        </w:rPr>
        <w:t>第四十八条 </w:t>
      </w:r>
      <w:r>
        <w:rPr>
          <w:sz w:val="32"/>
        </w:rPr>
        <w:t>本办法由总务处负责解释。</w:t>
      </w:r>
    </w:p>
    <w:p>
      <w:pPr>
        <w:spacing w:after="0"/>
        <w:jc w:val="left"/>
        <w:rPr>
          <w:sz w:val="32"/>
        </w:rPr>
        <w:sectPr>
          <w:footerReference w:type="even" r:id="rId12"/>
          <w:footerReference w:type="default" r:id="rId13"/>
          <w:pgSz w:w="11910" w:h="16840"/>
          <w:pgMar w:footer="1487" w:header="0" w:top="1580" w:bottom="1680" w:left="1240" w:right="1040"/>
          <w:pgNumType w:start="20"/>
        </w:sectPr>
      </w:pPr>
    </w:p>
    <w:p>
      <w:pPr>
        <w:pStyle w:val="BodyText"/>
        <w:rPr>
          <w:sz w:val="20"/>
        </w:rPr>
      </w:pPr>
    </w:p>
    <w:p>
      <w:pPr>
        <w:pStyle w:val="BodyText"/>
        <w:spacing w:before="11"/>
        <w:rPr>
          <w:sz w:val="24"/>
        </w:rPr>
      </w:pPr>
    </w:p>
    <w:p>
      <w:pPr>
        <w:pStyle w:val="BodyText"/>
        <w:spacing w:before="54" w:after="21"/>
        <w:ind w:left="346"/>
        <w:rPr>
          <w:rFonts w:ascii="黑体" w:eastAsia="黑体" w:hint="eastAsia"/>
        </w:rPr>
      </w:pPr>
      <w:r>
        <w:rPr/>
        <w:pict>
          <v:line style="position:absolute;mso-position-horizontal-relative:page;mso-position-vertical-relative:paragraph;z-index:251680768" from="70.349998pt,-3.769971pt" to="70.349998pt,24.230029pt" stroked="true" strokeweight="0pt" strokecolor="#000000">
            <v:stroke dashstyle="solid"/>
            <w10:wrap type="none"/>
          </v:line>
        </w:pict>
      </w:r>
      <w:r>
        <w:rPr>
          <w:rFonts w:ascii="黑体" w:eastAsia="黑体" w:hint="eastAsia"/>
        </w:rPr>
        <w:t>附表：</w:t>
      </w: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1"/>
        <w:gridCol w:w="4298"/>
      </w:tblGrid>
      <w:tr>
        <w:trPr>
          <w:trHeight w:val="437" w:hRule="atLeast"/>
        </w:trPr>
        <w:tc>
          <w:tcPr>
            <w:tcW w:w="4201" w:type="dxa"/>
          </w:tcPr>
          <w:p>
            <w:pPr>
              <w:pStyle w:val="TableParagraph"/>
              <w:spacing w:before="104"/>
              <w:ind w:left="1868" w:right="1862"/>
              <w:jc w:val="center"/>
              <w:rPr>
                <w:rFonts w:ascii="黑体" w:eastAsia="黑体" w:hint="eastAsia"/>
                <w:sz w:val="21"/>
              </w:rPr>
            </w:pPr>
            <w:r>
              <w:rPr>
                <w:rFonts w:ascii="黑体" w:eastAsia="黑体" w:hint="eastAsia"/>
                <w:sz w:val="21"/>
              </w:rPr>
              <w:t>项目</w:t>
            </w:r>
          </w:p>
        </w:tc>
        <w:tc>
          <w:tcPr>
            <w:tcW w:w="4298" w:type="dxa"/>
          </w:tcPr>
          <w:p>
            <w:pPr>
              <w:pStyle w:val="TableParagraph"/>
              <w:spacing w:before="104"/>
              <w:ind w:left="1498" w:right="1490"/>
              <w:jc w:val="center"/>
              <w:rPr>
                <w:rFonts w:ascii="黑体" w:eastAsia="黑体" w:hint="eastAsia"/>
                <w:sz w:val="21"/>
              </w:rPr>
            </w:pPr>
            <w:r>
              <w:rPr>
                <w:rFonts w:ascii="黑体" w:eastAsia="黑体" w:hint="eastAsia"/>
                <w:sz w:val="21"/>
              </w:rPr>
              <w:t>最低使用年限</w:t>
            </w:r>
          </w:p>
        </w:tc>
      </w:tr>
      <w:tr>
        <w:trPr>
          <w:trHeight w:val="437" w:hRule="atLeast"/>
        </w:trPr>
        <w:tc>
          <w:tcPr>
            <w:tcW w:w="4201" w:type="dxa"/>
          </w:tcPr>
          <w:p>
            <w:pPr>
              <w:pStyle w:val="TableParagraph"/>
              <w:spacing w:before="46"/>
              <w:rPr>
                <w:rFonts w:ascii="黑体" w:eastAsia="黑体" w:hint="eastAsia"/>
                <w:sz w:val="21"/>
              </w:rPr>
            </w:pPr>
            <w:r>
              <w:rPr>
                <w:rFonts w:ascii="黑体" w:eastAsia="黑体" w:hint="eastAsia"/>
                <w:sz w:val="21"/>
              </w:rPr>
              <w:t>一、通用设备</w:t>
            </w:r>
          </w:p>
        </w:tc>
        <w:tc>
          <w:tcPr>
            <w:tcW w:w="4298" w:type="dxa"/>
          </w:tcPr>
          <w:p>
            <w:pPr>
              <w:pStyle w:val="TableParagraph"/>
              <w:ind w:left="0"/>
              <w:rPr>
                <w:rFonts w:ascii="Times New Roman"/>
                <w:sz w:val="20"/>
              </w:rPr>
            </w:pPr>
          </w:p>
        </w:tc>
      </w:tr>
      <w:tr>
        <w:trPr>
          <w:trHeight w:val="436" w:hRule="atLeast"/>
        </w:trPr>
        <w:tc>
          <w:tcPr>
            <w:tcW w:w="4201" w:type="dxa"/>
          </w:tcPr>
          <w:p>
            <w:pPr>
              <w:pStyle w:val="TableParagraph"/>
              <w:spacing w:before="45"/>
              <w:rPr>
                <w:rFonts w:ascii="宋体" w:eastAsia="宋体" w:hint="eastAsia"/>
                <w:sz w:val="21"/>
              </w:rPr>
            </w:pPr>
            <w:r>
              <w:rPr>
                <w:rFonts w:ascii="宋体" w:eastAsia="宋体" w:hint="eastAsia"/>
                <w:sz w:val="21"/>
              </w:rPr>
              <w:t>（一）办公设备</w:t>
            </w:r>
          </w:p>
        </w:tc>
        <w:tc>
          <w:tcPr>
            <w:tcW w:w="4298" w:type="dxa"/>
          </w:tcPr>
          <w:p>
            <w:pPr>
              <w:pStyle w:val="TableParagraph"/>
              <w:ind w:left="0"/>
              <w:rPr>
                <w:rFonts w:ascii="Times New Roman"/>
                <w:sz w:val="20"/>
              </w:rPr>
            </w:pPr>
          </w:p>
        </w:tc>
      </w:tr>
      <w:tr>
        <w:trPr>
          <w:trHeight w:val="437" w:hRule="atLeast"/>
        </w:trPr>
        <w:tc>
          <w:tcPr>
            <w:tcW w:w="4201" w:type="dxa"/>
          </w:tcPr>
          <w:p>
            <w:pPr>
              <w:pStyle w:val="TableParagraph"/>
              <w:spacing w:before="47"/>
              <w:rPr>
                <w:rFonts w:ascii="宋体" w:eastAsia="宋体" w:hint="eastAsia"/>
                <w:sz w:val="21"/>
              </w:rPr>
            </w:pPr>
            <w:r>
              <w:rPr>
                <w:rFonts w:ascii="Times New Roman" w:eastAsia="Times New Roman"/>
                <w:sz w:val="21"/>
              </w:rPr>
              <w:t>1</w:t>
            </w:r>
            <w:r>
              <w:rPr>
                <w:rFonts w:ascii="宋体" w:eastAsia="宋体" w:hint="eastAsia"/>
                <w:sz w:val="21"/>
              </w:rPr>
              <w:t>、电脑</w:t>
            </w:r>
          </w:p>
        </w:tc>
        <w:tc>
          <w:tcPr>
            <w:tcW w:w="4298" w:type="dxa"/>
          </w:tcPr>
          <w:p>
            <w:pPr>
              <w:pStyle w:val="TableParagraph"/>
              <w:spacing w:before="47"/>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2</w:t>
            </w:r>
            <w:r>
              <w:rPr>
                <w:rFonts w:ascii="宋体" w:eastAsia="宋体" w:hint="eastAsia"/>
                <w:sz w:val="21"/>
              </w:rPr>
              <w:t>、打印机</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3</w:t>
            </w:r>
            <w:r>
              <w:rPr>
                <w:rFonts w:ascii="宋体" w:eastAsia="宋体" w:hint="eastAsia"/>
                <w:sz w:val="21"/>
              </w:rPr>
              <w:t>、复印机</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5"/>
              <w:rPr>
                <w:rFonts w:ascii="宋体" w:eastAsia="宋体" w:hint="eastAsia"/>
                <w:sz w:val="21"/>
              </w:rPr>
            </w:pPr>
            <w:r>
              <w:rPr>
                <w:rFonts w:ascii="Times New Roman" w:eastAsia="Times New Roman"/>
                <w:sz w:val="21"/>
              </w:rPr>
              <w:t>4</w:t>
            </w:r>
            <w:r>
              <w:rPr>
                <w:rFonts w:ascii="宋体" w:eastAsia="宋体" w:hint="eastAsia"/>
                <w:sz w:val="21"/>
              </w:rPr>
              <w:t>、速印机</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6" w:hRule="atLeast"/>
        </w:trPr>
        <w:tc>
          <w:tcPr>
            <w:tcW w:w="4201" w:type="dxa"/>
          </w:tcPr>
          <w:p>
            <w:pPr>
              <w:pStyle w:val="TableParagraph"/>
              <w:spacing w:before="47"/>
              <w:rPr>
                <w:rFonts w:ascii="宋体" w:eastAsia="宋体" w:hint="eastAsia"/>
                <w:sz w:val="21"/>
              </w:rPr>
            </w:pPr>
            <w:r>
              <w:rPr>
                <w:rFonts w:ascii="Times New Roman" w:eastAsia="Times New Roman"/>
                <w:sz w:val="21"/>
              </w:rPr>
              <w:t>5</w:t>
            </w:r>
            <w:r>
              <w:rPr>
                <w:rFonts w:ascii="宋体" w:eastAsia="宋体" w:hint="eastAsia"/>
                <w:sz w:val="21"/>
              </w:rPr>
              <w:t>、扫描仪</w:t>
            </w:r>
          </w:p>
        </w:tc>
        <w:tc>
          <w:tcPr>
            <w:tcW w:w="4298" w:type="dxa"/>
          </w:tcPr>
          <w:p>
            <w:pPr>
              <w:pStyle w:val="TableParagraph"/>
              <w:spacing w:before="47"/>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6</w:t>
            </w:r>
            <w:r>
              <w:rPr>
                <w:rFonts w:ascii="宋体" w:eastAsia="宋体" w:hint="eastAsia"/>
                <w:sz w:val="21"/>
              </w:rPr>
              <w:t>、一体机（含传真）</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6" w:hRule="atLeast"/>
        </w:trPr>
        <w:tc>
          <w:tcPr>
            <w:tcW w:w="4201" w:type="dxa"/>
          </w:tcPr>
          <w:p>
            <w:pPr>
              <w:pStyle w:val="TableParagraph"/>
              <w:spacing w:before="45"/>
              <w:rPr>
                <w:rFonts w:ascii="宋体" w:eastAsia="宋体" w:hint="eastAsia"/>
                <w:sz w:val="21"/>
              </w:rPr>
            </w:pPr>
            <w:r>
              <w:rPr>
                <w:rFonts w:ascii="Times New Roman" w:eastAsia="Times New Roman"/>
                <w:sz w:val="21"/>
              </w:rPr>
              <w:t>7</w:t>
            </w:r>
            <w:r>
              <w:rPr>
                <w:rFonts w:ascii="宋体" w:eastAsia="宋体" w:hint="eastAsia"/>
                <w:sz w:val="21"/>
              </w:rPr>
              <w:t>、碎纸机</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5"/>
              <w:rPr>
                <w:rFonts w:ascii="宋体" w:eastAsia="宋体" w:hint="eastAsia"/>
                <w:sz w:val="21"/>
              </w:rPr>
            </w:pPr>
            <w:r>
              <w:rPr>
                <w:rFonts w:ascii="Times New Roman" w:eastAsia="Times New Roman"/>
                <w:sz w:val="21"/>
              </w:rPr>
              <w:t>8</w:t>
            </w:r>
            <w:r>
              <w:rPr>
                <w:rFonts w:ascii="宋体" w:eastAsia="宋体" w:hint="eastAsia"/>
                <w:sz w:val="21"/>
              </w:rPr>
              <w:t>、投影仪</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6" w:hRule="atLeast"/>
        </w:trPr>
        <w:tc>
          <w:tcPr>
            <w:tcW w:w="4201" w:type="dxa"/>
          </w:tcPr>
          <w:p>
            <w:pPr>
              <w:pStyle w:val="TableParagraph"/>
              <w:spacing w:before="47"/>
              <w:rPr>
                <w:rFonts w:ascii="宋体" w:eastAsia="宋体" w:hint="eastAsia"/>
                <w:sz w:val="21"/>
              </w:rPr>
            </w:pPr>
            <w:r>
              <w:rPr>
                <w:rFonts w:ascii="Times New Roman" w:eastAsia="Times New Roman"/>
                <w:sz w:val="21"/>
              </w:rPr>
              <w:t>9</w:t>
            </w:r>
            <w:r>
              <w:rPr>
                <w:rFonts w:ascii="宋体" w:eastAsia="宋体" w:hint="eastAsia"/>
                <w:sz w:val="21"/>
              </w:rPr>
              <w:t>、数码摄录设备</w:t>
            </w:r>
          </w:p>
        </w:tc>
        <w:tc>
          <w:tcPr>
            <w:tcW w:w="4298" w:type="dxa"/>
          </w:tcPr>
          <w:p>
            <w:pPr>
              <w:pStyle w:val="TableParagraph"/>
              <w:spacing w:before="47"/>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10</w:t>
            </w:r>
            <w:r>
              <w:rPr>
                <w:rFonts w:ascii="宋体" w:eastAsia="宋体" w:hint="eastAsia"/>
                <w:sz w:val="21"/>
              </w:rPr>
              <w:t>、会议室音响设备</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10 </w:t>
            </w:r>
            <w:r>
              <w:rPr>
                <w:rFonts w:ascii="宋体" w:eastAsia="宋体" w:hint="eastAsia"/>
                <w:sz w:val="21"/>
              </w:rPr>
              <w:t>年</w:t>
            </w:r>
          </w:p>
        </w:tc>
      </w:tr>
      <w:tr>
        <w:trPr>
          <w:trHeight w:val="437" w:hRule="atLeast"/>
        </w:trPr>
        <w:tc>
          <w:tcPr>
            <w:tcW w:w="4201" w:type="dxa"/>
          </w:tcPr>
          <w:p>
            <w:pPr>
              <w:pStyle w:val="TableParagraph"/>
              <w:spacing w:before="45"/>
              <w:rPr>
                <w:rFonts w:ascii="宋体" w:eastAsia="宋体" w:hint="eastAsia"/>
                <w:sz w:val="21"/>
              </w:rPr>
            </w:pPr>
            <w:r>
              <w:rPr>
                <w:rFonts w:ascii="宋体" w:eastAsia="宋体" w:hint="eastAsia"/>
                <w:sz w:val="21"/>
              </w:rPr>
              <w:t>（二）空调设备</w:t>
            </w:r>
          </w:p>
        </w:tc>
        <w:tc>
          <w:tcPr>
            <w:tcW w:w="4298" w:type="dxa"/>
          </w:tcPr>
          <w:p>
            <w:pPr>
              <w:pStyle w:val="TableParagraph"/>
              <w:ind w:left="0"/>
              <w:rPr>
                <w:rFonts w:ascii="Times New Roman"/>
                <w:sz w:val="20"/>
              </w:rPr>
            </w:pPr>
          </w:p>
        </w:tc>
      </w:tr>
      <w:tr>
        <w:trPr>
          <w:trHeight w:val="436" w:hRule="atLeast"/>
        </w:trPr>
        <w:tc>
          <w:tcPr>
            <w:tcW w:w="4201" w:type="dxa"/>
          </w:tcPr>
          <w:p>
            <w:pPr>
              <w:pStyle w:val="TableParagraph"/>
              <w:spacing w:before="45"/>
              <w:rPr>
                <w:rFonts w:ascii="宋体" w:eastAsia="宋体" w:hint="eastAsia"/>
                <w:sz w:val="21"/>
              </w:rPr>
            </w:pPr>
            <w:r>
              <w:rPr>
                <w:rFonts w:ascii="Times New Roman" w:eastAsia="Times New Roman"/>
                <w:sz w:val="21"/>
              </w:rPr>
              <w:t>1</w:t>
            </w:r>
            <w:r>
              <w:rPr>
                <w:rFonts w:ascii="宋体" w:eastAsia="宋体" w:hint="eastAsia"/>
                <w:sz w:val="21"/>
              </w:rPr>
              <w:t>、中央空调</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15 </w:t>
            </w:r>
            <w:r>
              <w:rPr>
                <w:rFonts w:ascii="宋体" w:eastAsia="宋体" w:hint="eastAsia"/>
                <w:sz w:val="21"/>
              </w:rPr>
              <w:t>年</w:t>
            </w:r>
          </w:p>
        </w:tc>
      </w:tr>
      <w:tr>
        <w:trPr>
          <w:trHeight w:val="437" w:hRule="atLeast"/>
        </w:trPr>
        <w:tc>
          <w:tcPr>
            <w:tcW w:w="4201" w:type="dxa"/>
          </w:tcPr>
          <w:p>
            <w:pPr>
              <w:pStyle w:val="TableParagraph"/>
              <w:spacing w:before="47"/>
              <w:rPr>
                <w:rFonts w:ascii="宋体" w:eastAsia="宋体" w:hint="eastAsia"/>
                <w:sz w:val="21"/>
              </w:rPr>
            </w:pPr>
            <w:r>
              <w:rPr>
                <w:rFonts w:ascii="Times New Roman" w:eastAsia="Times New Roman"/>
                <w:sz w:val="21"/>
              </w:rPr>
              <w:t>2</w:t>
            </w:r>
            <w:r>
              <w:rPr>
                <w:rFonts w:ascii="宋体" w:eastAsia="宋体" w:hint="eastAsia"/>
                <w:sz w:val="21"/>
              </w:rPr>
              <w:t>、分体空调</w:t>
            </w:r>
          </w:p>
        </w:tc>
        <w:tc>
          <w:tcPr>
            <w:tcW w:w="4298" w:type="dxa"/>
          </w:tcPr>
          <w:p>
            <w:pPr>
              <w:pStyle w:val="TableParagraph"/>
              <w:spacing w:before="47"/>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7" w:hRule="atLeast"/>
        </w:trPr>
        <w:tc>
          <w:tcPr>
            <w:tcW w:w="4201" w:type="dxa"/>
          </w:tcPr>
          <w:p>
            <w:pPr>
              <w:pStyle w:val="TableParagraph"/>
              <w:spacing w:before="46"/>
              <w:rPr>
                <w:rFonts w:ascii="黑体" w:eastAsia="黑体" w:hint="eastAsia"/>
                <w:sz w:val="21"/>
              </w:rPr>
            </w:pPr>
            <w:r>
              <w:rPr>
                <w:rFonts w:ascii="黑体" w:eastAsia="黑体" w:hint="eastAsia"/>
                <w:sz w:val="21"/>
              </w:rPr>
              <w:t>二、办公家具</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15 </w:t>
            </w:r>
            <w:r>
              <w:rPr>
                <w:rFonts w:ascii="宋体" w:eastAsia="宋体" w:hint="eastAsia"/>
                <w:sz w:val="21"/>
              </w:rPr>
              <w:t>年</w:t>
            </w:r>
          </w:p>
        </w:tc>
      </w:tr>
      <w:tr>
        <w:trPr>
          <w:trHeight w:val="437" w:hRule="atLeast"/>
        </w:trPr>
        <w:tc>
          <w:tcPr>
            <w:tcW w:w="4201" w:type="dxa"/>
          </w:tcPr>
          <w:p>
            <w:pPr>
              <w:pStyle w:val="TableParagraph"/>
              <w:spacing w:before="46"/>
              <w:rPr>
                <w:rFonts w:ascii="黑体" w:eastAsia="黑体" w:hint="eastAsia"/>
                <w:sz w:val="21"/>
              </w:rPr>
            </w:pPr>
            <w:r>
              <w:rPr>
                <w:rFonts w:ascii="黑体" w:eastAsia="黑体" w:hint="eastAsia"/>
                <w:sz w:val="21"/>
              </w:rPr>
              <w:t>三、专用设备</w:t>
            </w:r>
          </w:p>
        </w:tc>
        <w:tc>
          <w:tcPr>
            <w:tcW w:w="4298" w:type="dxa"/>
          </w:tcPr>
          <w:p>
            <w:pPr>
              <w:pStyle w:val="TableParagraph"/>
              <w:ind w:left="0"/>
              <w:rPr>
                <w:rFonts w:ascii="Times New Roman"/>
                <w:sz w:val="20"/>
              </w:rPr>
            </w:pPr>
          </w:p>
        </w:tc>
      </w:tr>
      <w:tr>
        <w:trPr>
          <w:trHeight w:val="436" w:hRule="atLeast"/>
        </w:trPr>
        <w:tc>
          <w:tcPr>
            <w:tcW w:w="4201" w:type="dxa"/>
          </w:tcPr>
          <w:p>
            <w:pPr>
              <w:pStyle w:val="TableParagraph"/>
              <w:spacing w:before="45"/>
              <w:rPr>
                <w:rFonts w:ascii="宋体" w:eastAsia="宋体" w:hint="eastAsia"/>
                <w:sz w:val="21"/>
              </w:rPr>
            </w:pPr>
            <w:r>
              <w:rPr>
                <w:rFonts w:ascii="Times New Roman" w:eastAsia="Times New Roman"/>
                <w:sz w:val="21"/>
              </w:rPr>
              <w:t>1</w:t>
            </w:r>
            <w:r>
              <w:rPr>
                <w:rFonts w:ascii="宋体" w:eastAsia="宋体" w:hint="eastAsia"/>
                <w:sz w:val="21"/>
              </w:rPr>
              <w:t>、仪器仪表</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7"/>
              <w:rPr>
                <w:rFonts w:ascii="宋体" w:eastAsia="宋体" w:hint="eastAsia"/>
                <w:sz w:val="21"/>
              </w:rPr>
            </w:pPr>
            <w:r>
              <w:rPr>
                <w:rFonts w:ascii="Times New Roman" w:eastAsia="Times New Roman"/>
                <w:sz w:val="21"/>
              </w:rPr>
              <w:t>2</w:t>
            </w:r>
            <w:r>
              <w:rPr>
                <w:rFonts w:ascii="宋体" w:eastAsia="宋体" w:hint="eastAsia"/>
                <w:sz w:val="21"/>
              </w:rPr>
              <w:t>、演示、测试仪器</w:t>
            </w:r>
          </w:p>
        </w:tc>
        <w:tc>
          <w:tcPr>
            <w:tcW w:w="4298" w:type="dxa"/>
          </w:tcPr>
          <w:p>
            <w:pPr>
              <w:pStyle w:val="TableParagraph"/>
              <w:spacing w:before="47"/>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3</w:t>
            </w:r>
            <w:r>
              <w:rPr>
                <w:rFonts w:ascii="宋体" w:eastAsia="宋体" w:hint="eastAsia"/>
                <w:sz w:val="21"/>
              </w:rPr>
              <w:t>、机电设备</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10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4</w:t>
            </w:r>
            <w:r>
              <w:rPr>
                <w:rFonts w:ascii="宋体" w:eastAsia="宋体" w:hint="eastAsia"/>
                <w:sz w:val="21"/>
              </w:rPr>
              <w:t>、医疗设备</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5"/>
              <w:rPr>
                <w:rFonts w:ascii="宋体" w:eastAsia="宋体" w:hint="eastAsia"/>
                <w:sz w:val="21"/>
              </w:rPr>
            </w:pPr>
            <w:r>
              <w:rPr>
                <w:rFonts w:ascii="Times New Roman" w:eastAsia="Times New Roman"/>
                <w:sz w:val="21"/>
              </w:rPr>
              <w:t>5</w:t>
            </w:r>
            <w:r>
              <w:rPr>
                <w:rFonts w:ascii="宋体" w:eastAsia="宋体" w:hint="eastAsia"/>
                <w:sz w:val="21"/>
              </w:rPr>
              <w:t>、印刷设备</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6" w:hRule="atLeast"/>
        </w:trPr>
        <w:tc>
          <w:tcPr>
            <w:tcW w:w="4201" w:type="dxa"/>
          </w:tcPr>
          <w:p>
            <w:pPr>
              <w:pStyle w:val="TableParagraph"/>
              <w:spacing w:before="47"/>
              <w:rPr>
                <w:rFonts w:ascii="宋体" w:eastAsia="宋体" w:hint="eastAsia"/>
                <w:sz w:val="21"/>
              </w:rPr>
            </w:pPr>
            <w:r>
              <w:rPr>
                <w:rFonts w:ascii="Times New Roman" w:eastAsia="Times New Roman"/>
                <w:sz w:val="21"/>
              </w:rPr>
              <w:t>6</w:t>
            </w:r>
            <w:r>
              <w:rPr>
                <w:rFonts w:ascii="宋体" w:eastAsia="宋体" w:hint="eastAsia"/>
                <w:sz w:val="21"/>
              </w:rPr>
              <w:t>、文体设备</w:t>
            </w:r>
          </w:p>
        </w:tc>
        <w:tc>
          <w:tcPr>
            <w:tcW w:w="4298" w:type="dxa"/>
          </w:tcPr>
          <w:p>
            <w:pPr>
              <w:pStyle w:val="TableParagraph"/>
              <w:spacing w:before="47"/>
              <w:ind w:left="1498" w:right="1490"/>
              <w:jc w:val="center"/>
              <w:rPr>
                <w:rFonts w:ascii="宋体" w:eastAsia="宋体" w:hint="eastAsia"/>
                <w:sz w:val="21"/>
              </w:rPr>
            </w:pPr>
            <w:r>
              <w:rPr>
                <w:rFonts w:ascii="Times New Roman" w:eastAsia="Times New Roman"/>
                <w:sz w:val="21"/>
              </w:rPr>
              <w:t>6 </w:t>
            </w:r>
            <w:r>
              <w:rPr>
                <w:rFonts w:ascii="宋体" w:eastAsia="宋体" w:hint="eastAsia"/>
                <w:sz w:val="21"/>
              </w:rPr>
              <w:t>年</w:t>
            </w:r>
          </w:p>
        </w:tc>
      </w:tr>
      <w:tr>
        <w:trPr>
          <w:trHeight w:val="437" w:hRule="atLeast"/>
        </w:trPr>
        <w:tc>
          <w:tcPr>
            <w:tcW w:w="4201" w:type="dxa"/>
          </w:tcPr>
          <w:p>
            <w:pPr>
              <w:pStyle w:val="TableParagraph"/>
              <w:spacing w:before="46"/>
              <w:rPr>
                <w:rFonts w:ascii="宋体" w:eastAsia="宋体" w:hint="eastAsia"/>
                <w:sz w:val="21"/>
              </w:rPr>
            </w:pPr>
            <w:r>
              <w:rPr>
                <w:rFonts w:ascii="Times New Roman" w:eastAsia="Times New Roman"/>
                <w:sz w:val="21"/>
              </w:rPr>
              <w:t>7</w:t>
            </w:r>
            <w:r>
              <w:rPr>
                <w:rFonts w:ascii="宋体" w:eastAsia="宋体" w:hint="eastAsia"/>
                <w:sz w:val="21"/>
              </w:rPr>
              <w:t>、交通运输设备</w:t>
            </w:r>
          </w:p>
        </w:tc>
        <w:tc>
          <w:tcPr>
            <w:tcW w:w="4298" w:type="dxa"/>
          </w:tcPr>
          <w:p>
            <w:pPr>
              <w:pStyle w:val="TableParagraph"/>
              <w:spacing w:before="46"/>
              <w:ind w:left="1498" w:right="1490"/>
              <w:jc w:val="center"/>
              <w:rPr>
                <w:rFonts w:ascii="宋体" w:eastAsia="宋体" w:hint="eastAsia"/>
                <w:sz w:val="21"/>
              </w:rPr>
            </w:pPr>
            <w:r>
              <w:rPr>
                <w:rFonts w:ascii="Times New Roman" w:eastAsia="Times New Roman"/>
                <w:sz w:val="21"/>
              </w:rPr>
              <w:t>8 </w:t>
            </w:r>
            <w:r>
              <w:rPr>
                <w:rFonts w:ascii="宋体" w:eastAsia="宋体" w:hint="eastAsia"/>
                <w:sz w:val="21"/>
              </w:rPr>
              <w:t>年</w:t>
            </w:r>
          </w:p>
        </w:tc>
      </w:tr>
      <w:tr>
        <w:trPr>
          <w:trHeight w:val="437" w:hRule="atLeast"/>
        </w:trPr>
        <w:tc>
          <w:tcPr>
            <w:tcW w:w="4201" w:type="dxa"/>
          </w:tcPr>
          <w:p>
            <w:pPr>
              <w:pStyle w:val="TableParagraph"/>
              <w:spacing w:before="45"/>
              <w:rPr>
                <w:rFonts w:ascii="黑体" w:eastAsia="黑体" w:hint="eastAsia"/>
                <w:sz w:val="21"/>
              </w:rPr>
            </w:pPr>
            <w:r>
              <w:rPr>
                <w:rFonts w:ascii="黑体" w:eastAsia="黑体" w:hint="eastAsia"/>
                <w:sz w:val="21"/>
              </w:rPr>
              <w:t>四、文物及陈列品</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20 </w:t>
            </w:r>
            <w:r>
              <w:rPr>
                <w:rFonts w:ascii="宋体" w:eastAsia="宋体" w:hint="eastAsia"/>
                <w:sz w:val="21"/>
              </w:rPr>
              <w:t>年</w:t>
            </w:r>
          </w:p>
        </w:tc>
      </w:tr>
      <w:tr>
        <w:trPr>
          <w:trHeight w:val="487" w:hRule="atLeast"/>
        </w:trPr>
        <w:tc>
          <w:tcPr>
            <w:tcW w:w="4201" w:type="dxa"/>
          </w:tcPr>
          <w:p>
            <w:pPr>
              <w:pStyle w:val="TableParagraph"/>
              <w:spacing w:before="45"/>
              <w:rPr>
                <w:rFonts w:ascii="黑体" w:eastAsia="黑体" w:hint="eastAsia"/>
                <w:sz w:val="21"/>
              </w:rPr>
            </w:pPr>
            <w:r>
              <w:rPr>
                <w:rFonts w:ascii="黑体" w:eastAsia="黑体" w:hint="eastAsia"/>
                <w:sz w:val="21"/>
              </w:rPr>
              <w:t>五、图书及声像资料</w:t>
            </w:r>
          </w:p>
        </w:tc>
        <w:tc>
          <w:tcPr>
            <w:tcW w:w="4298" w:type="dxa"/>
          </w:tcPr>
          <w:p>
            <w:pPr>
              <w:pStyle w:val="TableParagraph"/>
              <w:spacing w:before="45"/>
              <w:ind w:left="1498" w:right="1490"/>
              <w:jc w:val="center"/>
              <w:rPr>
                <w:rFonts w:ascii="宋体" w:eastAsia="宋体" w:hint="eastAsia"/>
                <w:sz w:val="21"/>
              </w:rPr>
            </w:pPr>
            <w:r>
              <w:rPr>
                <w:rFonts w:ascii="Times New Roman" w:eastAsia="Times New Roman"/>
                <w:sz w:val="21"/>
              </w:rPr>
              <w:t>10 </w:t>
            </w:r>
            <w:r>
              <w:rPr>
                <w:rFonts w:ascii="宋体" w:eastAsia="宋体" w:hint="eastAsia"/>
                <w:sz w:val="21"/>
              </w:rPr>
              <w:t>年</w:t>
            </w:r>
          </w:p>
        </w:tc>
      </w:tr>
    </w:tbl>
    <w:p>
      <w:pPr>
        <w:spacing w:after="0"/>
        <w:jc w:val="center"/>
        <w:rPr>
          <w:rFonts w:ascii="宋体" w:eastAsia="宋体" w:hint="eastAsia"/>
          <w:sz w:val="21"/>
        </w:rPr>
        <w:sectPr>
          <w:pgSz w:w="11910" w:h="16840"/>
          <w:pgMar w:header="0" w:footer="1487" w:top="1580" w:bottom="1680" w:left="1240" w:right="1040"/>
        </w:sectPr>
      </w:pPr>
    </w:p>
    <w:p>
      <w:pPr>
        <w:pStyle w:val="BodyText"/>
        <w:spacing w:before="4"/>
        <w:rPr>
          <w:rFonts w:ascii="Times New Roman"/>
          <w:sz w:val="17"/>
        </w:rPr>
      </w:pPr>
    </w:p>
    <w:p>
      <w:pPr>
        <w:spacing w:after="0"/>
        <w:rPr>
          <w:rFonts w:ascii="Times New Roman"/>
          <w:sz w:val="17"/>
        </w:rPr>
        <w:sectPr>
          <w:pgSz w:w="11910" w:h="16840"/>
          <w:pgMar w:header="0" w:footer="1487" w:top="1580" w:bottom="1600" w:left="1240" w:right="10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after="1"/>
        <w:rPr>
          <w:rFonts w:ascii="Times New Roman"/>
          <w:sz w:val="14"/>
        </w:rPr>
      </w:pPr>
    </w:p>
    <w:p>
      <w:pPr>
        <w:pStyle w:val="BodyText"/>
        <w:spacing w:line="20" w:lineRule="exact"/>
        <w:ind w:left="5"/>
        <w:rPr>
          <w:rFonts w:ascii="Times New Roman"/>
          <w:sz w:val="2"/>
        </w:rPr>
      </w:pPr>
      <w:r>
        <w:rPr>
          <w:rFonts w:ascii="Times New Roman"/>
          <w:sz w:val="2"/>
        </w:rPr>
        <w:pict>
          <v:group style="width:476pt;height:.5pt;mso-position-horizontal-relative:char;mso-position-vertical-relative:line" coordorigin="0,0" coordsize="9520,10">
            <v:line style="position:absolute" from="0,5" to="9520,5" stroked="true" strokeweight=".48pt" strokecolor="#000000">
              <v:stroke dashstyle="solid"/>
            </v:line>
          </v:group>
        </w:pict>
      </w:r>
      <w:r>
        <w:rPr>
          <w:rFonts w:ascii="Times New Roman"/>
          <w:sz w:val="2"/>
        </w:rPr>
      </w:r>
    </w:p>
    <w:p>
      <w:pPr>
        <w:tabs>
          <w:tab w:pos="6552" w:val="left" w:leader="none"/>
        </w:tabs>
        <w:spacing w:before="122"/>
        <w:ind w:left="118" w:right="0" w:firstLine="0"/>
        <w:jc w:val="left"/>
        <w:rPr>
          <w:sz w:val="28"/>
        </w:rPr>
      </w:pPr>
      <w:r>
        <w:rPr/>
        <w:pict>
          <v:line style="position:absolute;mso-position-horizontal-relative:page;mso-position-vertical-relative:paragraph;z-index:-251633664;mso-wrap-distance-left:0;mso-wrap-distance-right:0" from="62.5pt,30.940002pt" to="538.5pt,30.940002pt" stroked="true" strokeweight=".48pt" strokecolor="#000000">
            <v:stroke dashstyle="solid"/>
            <w10:wrap type="topAndBottom"/>
          </v:line>
        </w:pict>
      </w:r>
      <w:r>
        <w:rPr>
          <w:sz w:val="28"/>
        </w:rPr>
        <w:t>湖</w:t>
      </w:r>
      <w:r>
        <w:rPr>
          <w:spacing w:val="-3"/>
          <w:sz w:val="28"/>
        </w:rPr>
        <w:t>南</w:t>
      </w:r>
      <w:r>
        <w:rPr>
          <w:sz w:val="28"/>
        </w:rPr>
        <w:t>水利</w:t>
      </w:r>
      <w:r>
        <w:rPr>
          <w:spacing w:val="-3"/>
          <w:sz w:val="28"/>
        </w:rPr>
        <w:t>水</w:t>
      </w:r>
      <w:r>
        <w:rPr>
          <w:sz w:val="28"/>
        </w:rPr>
        <w:t>电职</w:t>
      </w:r>
      <w:r>
        <w:rPr>
          <w:spacing w:val="-3"/>
          <w:sz w:val="28"/>
        </w:rPr>
        <w:t>业</w:t>
      </w:r>
      <w:r>
        <w:rPr>
          <w:sz w:val="28"/>
        </w:rPr>
        <w:t>技术</w:t>
      </w:r>
      <w:r>
        <w:rPr>
          <w:spacing w:val="-3"/>
          <w:sz w:val="28"/>
        </w:rPr>
        <w:t>学</w:t>
      </w:r>
      <w:r>
        <w:rPr>
          <w:sz w:val="28"/>
        </w:rPr>
        <w:t>院党</w:t>
      </w:r>
      <w:r>
        <w:rPr>
          <w:spacing w:val="-3"/>
          <w:sz w:val="28"/>
        </w:rPr>
        <w:t>政</w:t>
      </w:r>
      <w:r>
        <w:rPr>
          <w:sz w:val="28"/>
        </w:rPr>
        <w:t>办</w:t>
        <w:tab/>
        <w:t>2020</w:t>
      </w:r>
      <w:r>
        <w:rPr>
          <w:spacing w:val="-72"/>
          <w:sz w:val="28"/>
        </w:rPr>
        <w:t> </w:t>
      </w:r>
      <w:r>
        <w:rPr>
          <w:sz w:val="28"/>
        </w:rPr>
        <w:t>年</w:t>
      </w:r>
      <w:r>
        <w:rPr>
          <w:spacing w:val="-71"/>
          <w:sz w:val="28"/>
        </w:rPr>
        <w:t> </w:t>
      </w:r>
      <w:r>
        <w:rPr>
          <w:sz w:val="28"/>
        </w:rPr>
        <w:t>04</w:t>
      </w:r>
      <w:r>
        <w:rPr>
          <w:spacing w:val="-71"/>
          <w:sz w:val="28"/>
        </w:rPr>
        <w:t> </w:t>
      </w:r>
      <w:r>
        <w:rPr>
          <w:sz w:val="28"/>
        </w:rPr>
        <w:t>月</w:t>
      </w:r>
      <w:r>
        <w:rPr>
          <w:spacing w:val="-71"/>
          <w:sz w:val="28"/>
        </w:rPr>
        <w:t> </w:t>
      </w:r>
      <w:r>
        <w:rPr>
          <w:sz w:val="28"/>
        </w:rPr>
        <w:t>19</w:t>
      </w:r>
      <w:r>
        <w:rPr>
          <w:spacing w:val="-71"/>
          <w:sz w:val="28"/>
        </w:rPr>
        <w:t> </w:t>
      </w:r>
      <w:r>
        <w:rPr>
          <w:sz w:val="28"/>
        </w:rPr>
        <w:t>日</w:t>
      </w:r>
      <w:r>
        <w:rPr>
          <w:spacing w:val="-3"/>
          <w:sz w:val="28"/>
        </w:rPr>
        <w:t>印</w:t>
      </w:r>
      <w:r>
        <w:rPr>
          <w:sz w:val="28"/>
        </w:rPr>
        <w:t>发</w:t>
      </w:r>
    </w:p>
    <w:sectPr>
      <w:pgSz w:w="11910" w:h="16840"/>
      <w:pgMar w:header="0" w:footer="1487" w:top="1580" w:bottom="1680" w:left="12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微软雅黑">
    <w:altName w:val="微软雅黑"/>
    <w:charset w:val="86"/>
    <w:family w:val="swiss"/>
    <w:pitch w:val="variable"/>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06pt;margin-top:756.53479pt;width:37pt;height:16.05pt;mso-position-horizontal-relative:page;mso-position-vertical-relative:page;z-index:-252500992"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20pt;margin-top:756.53479pt;width:37.15pt;height:16.05pt;mso-position-horizontal-relative:page;mso-position-vertical-relative:page;z-index:-252499968"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2</w:t>
                </w:r>
                <w:r>
                  <w:rPr/>
                  <w:fldChar w:fldCharType="end"/>
                </w:r>
                <w:r>
                  <w:rPr>
                    <w:rFonts w:asci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498944" from="70.349998pt,697.700012pt" to="70.349998pt,728.900012pt" stroked="true" strokeweight=".45617pt" strokecolor="#000000">
          <v:stroke dashstyle="solid"/>
          <w10:wrap type="none"/>
        </v:line>
      </w:pict>
    </w:r>
    <w:r>
      <w:rPr/>
      <w:pict>
        <v:shape style="position:absolute;margin-left:485.600006pt;margin-top:756.53479pt;width:37pt;height:16.05pt;mso-position-horizontal-relative:page;mso-position-vertical-relative:page;z-index:-252497920"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7</w:t>
                </w:r>
                <w:r>
                  <w:rPr/>
                  <w:fldChar w:fldCharType="end"/>
                </w:r>
                <w:r>
                  <w:rPr>
                    <w:rFonts w:ascii="宋体"/>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20pt;margin-top:756.53479pt;width:37.15pt;height:16.05pt;mso-position-horizontal-relative:page;mso-position-vertical-relative:page;z-index:-252496896"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8</w:t>
                </w:r>
                <w:r>
                  <w:rPr/>
                  <w:fldChar w:fldCharType="end"/>
                </w:r>
                <w:r>
                  <w:rPr>
                    <w:rFonts w:ascii="宋体"/>
                    <w:sz w:val="2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20pt;margin-top:756.53479pt;width:44.1pt;height:16.05pt;mso-position-horizontal-relative:page;mso-position-vertical-relative:page;z-index:-252495872"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10</w:t>
                </w:r>
                <w:r>
                  <w:rPr/>
                  <w:fldChar w:fldCharType="end"/>
                </w:r>
                <w:r>
                  <w:rPr>
                    <w:rFonts w:ascii="宋体"/>
                    <w:sz w:val="2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8.640015pt;margin-top:756.53479pt;width:43.95pt;height:16.05pt;mso-position-horizontal-relative:page;mso-position-vertical-relative:page;z-index:-252494848"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11</w:t>
                </w:r>
                <w:r>
                  <w:rPr/>
                  <w:fldChar w:fldCharType="end"/>
                </w:r>
                <w:r>
                  <w:rPr>
                    <w:rFonts w:ascii="宋体"/>
                    <w:sz w:val="2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20pt;margin-top:756.53479pt;width:44.1pt;height:16.05pt;mso-position-horizontal-relative:page;mso-position-vertical-relative:page;z-index:-252493824"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20</w:t>
                </w:r>
                <w:r>
                  <w:rPr/>
                  <w:fldChar w:fldCharType="end"/>
                </w:r>
                <w:r>
                  <w:rPr>
                    <w:rFonts w:ascii="宋体"/>
                    <w:sz w:val="28"/>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8.640015pt;margin-top:756.53479pt;width:43.95pt;height:16.05pt;mso-position-horizontal-relative:page;mso-position-vertical-relative:page;z-index:-252492800"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21</w:t>
                </w:r>
                <w:r>
                  <w:rPr/>
                  <w:fldChar w:fldCharType="end"/>
                </w:r>
                <w:r>
                  <w:rPr>
                    <w:rFonts w:ascii="宋体"/>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46" w:hanging="483"/>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268" w:hanging="483"/>
      </w:pPr>
      <w:rPr>
        <w:rFonts w:hint="default"/>
        <w:lang w:val="zh-CN" w:eastAsia="zh-CN" w:bidi="zh-CN"/>
      </w:rPr>
    </w:lvl>
    <w:lvl w:ilvl="2">
      <w:start w:val="0"/>
      <w:numFmt w:val="bullet"/>
      <w:lvlText w:val="•"/>
      <w:lvlJc w:val="left"/>
      <w:pPr>
        <w:ind w:left="2197" w:hanging="483"/>
      </w:pPr>
      <w:rPr>
        <w:rFonts w:hint="default"/>
        <w:lang w:val="zh-CN" w:eastAsia="zh-CN" w:bidi="zh-CN"/>
      </w:rPr>
    </w:lvl>
    <w:lvl w:ilvl="3">
      <w:start w:val="0"/>
      <w:numFmt w:val="bullet"/>
      <w:lvlText w:val="•"/>
      <w:lvlJc w:val="left"/>
      <w:pPr>
        <w:ind w:left="3125" w:hanging="483"/>
      </w:pPr>
      <w:rPr>
        <w:rFonts w:hint="default"/>
        <w:lang w:val="zh-CN" w:eastAsia="zh-CN" w:bidi="zh-CN"/>
      </w:rPr>
    </w:lvl>
    <w:lvl w:ilvl="4">
      <w:start w:val="0"/>
      <w:numFmt w:val="bullet"/>
      <w:lvlText w:val="•"/>
      <w:lvlJc w:val="left"/>
      <w:pPr>
        <w:ind w:left="4054" w:hanging="483"/>
      </w:pPr>
      <w:rPr>
        <w:rFonts w:hint="default"/>
        <w:lang w:val="zh-CN" w:eastAsia="zh-CN" w:bidi="zh-CN"/>
      </w:rPr>
    </w:lvl>
    <w:lvl w:ilvl="5">
      <w:start w:val="0"/>
      <w:numFmt w:val="bullet"/>
      <w:lvlText w:val="•"/>
      <w:lvlJc w:val="left"/>
      <w:pPr>
        <w:ind w:left="4983" w:hanging="483"/>
      </w:pPr>
      <w:rPr>
        <w:rFonts w:hint="default"/>
        <w:lang w:val="zh-CN" w:eastAsia="zh-CN" w:bidi="zh-CN"/>
      </w:rPr>
    </w:lvl>
    <w:lvl w:ilvl="6">
      <w:start w:val="0"/>
      <w:numFmt w:val="bullet"/>
      <w:lvlText w:val="•"/>
      <w:lvlJc w:val="left"/>
      <w:pPr>
        <w:ind w:left="5911" w:hanging="483"/>
      </w:pPr>
      <w:rPr>
        <w:rFonts w:hint="default"/>
        <w:lang w:val="zh-CN" w:eastAsia="zh-CN" w:bidi="zh-CN"/>
      </w:rPr>
    </w:lvl>
    <w:lvl w:ilvl="7">
      <w:start w:val="0"/>
      <w:numFmt w:val="bullet"/>
      <w:lvlText w:val="•"/>
      <w:lvlJc w:val="left"/>
      <w:pPr>
        <w:ind w:left="6840" w:hanging="483"/>
      </w:pPr>
      <w:rPr>
        <w:rFonts w:hint="default"/>
        <w:lang w:val="zh-CN" w:eastAsia="zh-CN" w:bidi="zh-CN"/>
      </w:rPr>
    </w:lvl>
    <w:lvl w:ilvl="8">
      <w:start w:val="0"/>
      <w:numFmt w:val="bullet"/>
      <w:lvlText w:val="•"/>
      <w:lvlJc w:val="left"/>
      <w:pPr>
        <w:ind w:left="7768" w:hanging="483"/>
      </w:pPr>
      <w:rPr>
        <w:rFonts w:hint="default"/>
        <w:lang w:val="zh-CN" w:eastAsia="zh-CN" w:bidi="zh-CN"/>
      </w:rPr>
    </w:lvl>
  </w:abstractNum>
  <w:abstractNum w:abstractNumId="5">
    <w:multiLevelType w:val="hybridMultilevel"/>
    <w:lvl w:ilvl="0">
      <w:start w:val="1"/>
      <w:numFmt w:val="decimal"/>
      <w:lvlText w:val="%1."/>
      <w:lvlJc w:val="left"/>
      <w:pPr>
        <w:ind w:left="346" w:hanging="481"/>
        <w:jc w:val="left"/>
      </w:pPr>
      <w:rPr>
        <w:rFonts w:hint="default" w:ascii="仿宋" w:hAnsi="仿宋" w:eastAsia="仿宋" w:cs="仿宋"/>
        <w:spacing w:val="-39"/>
        <w:w w:val="99"/>
        <w:sz w:val="30"/>
        <w:szCs w:val="30"/>
        <w:lang w:val="zh-CN" w:eastAsia="zh-CN" w:bidi="zh-CN"/>
      </w:rPr>
    </w:lvl>
    <w:lvl w:ilvl="1">
      <w:start w:val="0"/>
      <w:numFmt w:val="bullet"/>
      <w:lvlText w:val="•"/>
      <w:lvlJc w:val="left"/>
      <w:pPr>
        <w:ind w:left="1268" w:hanging="481"/>
      </w:pPr>
      <w:rPr>
        <w:rFonts w:hint="default"/>
        <w:lang w:val="zh-CN" w:eastAsia="zh-CN" w:bidi="zh-CN"/>
      </w:rPr>
    </w:lvl>
    <w:lvl w:ilvl="2">
      <w:start w:val="0"/>
      <w:numFmt w:val="bullet"/>
      <w:lvlText w:val="•"/>
      <w:lvlJc w:val="left"/>
      <w:pPr>
        <w:ind w:left="2197" w:hanging="481"/>
      </w:pPr>
      <w:rPr>
        <w:rFonts w:hint="default"/>
        <w:lang w:val="zh-CN" w:eastAsia="zh-CN" w:bidi="zh-CN"/>
      </w:rPr>
    </w:lvl>
    <w:lvl w:ilvl="3">
      <w:start w:val="0"/>
      <w:numFmt w:val="bullet"/>
      <w:lvlText w:val="•"/>
      <w:lvlJc w:val="left"/>
      <w:pPr>
        <w:ind w:left="3125" w:hanging="481"/>
      </w:pPr>
      <w:rPr>
        <w:rFonts w:hint="default"/>
        <w:lang w:val="zh-CN" w:eastAsia="zh-CN" w:bidi="zh-CN"/>
      </w:rPr>
    </w:lvl>
    <w:lvl w:ilvl="4">
      <w:start w:val="0"/>
      <w:numFmt w:val="bullet"/>
      <w:lvlText w:val="•"/>
      <w:lvlJc w:val="left"/>
      <w:pPr>
        <w:ind w:left="4054" w:hanging="481"/>
      </w:pPr>
      <w:rPr>
        <w:rFonts w:hint="default"/>
        <w:lang w:val="zh-CN" w:eastAsia="zh-CN" w:bidi="zh-CN"/>
      </w:rPr>
    </w:lvl>
    <w:lvl w:ilvl="5">
      <w:start w:val="0"/>
      <w:numFmt w:val="bullet"/>
      <w:lvlText w:val="•"/>
      <w:lvlJc w:val="left"/>
      <w:pPr>
        <w:ind w:left="4983" w:hanging="481"/>
      </w:pPr>
      <w:rPr>
        <w:rFonts w:hint="default"/>
        <w:lang w:val="zh-CN" w:eastAsia="zh-CN" w:bidi="zh-CN"/>
      </w:rPr>
    </w:lvl>
    <w:lvl w:ilvl="6">
      <w:start w:val="0"/>
      <w:numFmt w:val="bullet"/>
      <w:lvlText w:val="•"/>
      <w:lvlJc w:val="left"/>
      <w:pPr>
        <w:ind w:left="5911" w:hanging="481"/>
      </w:pPr>
      <w:rPr>
        <w:rFonts w:hint="default"/>
        <w:lang w:val="zh-CN" w:eastAsia="zh-CN" w:bidi="zh-CN"/>
      </w:rPr>
    </w:lvl>
    <w:lvl w:ilvl="7">
      <w:start w:val="0"/>
      <w:numFmt w:val="bullet"/>
      <w:lvlText w:val="•"/>
      <w:lvlJc w:val="left"/>
      <w:pPr>
        <w:ind w:left="6840" w:hanging="481"/>
      </w:pPr>
      <w:rPr>
        <w:rFonts w:hint="default"/>
        <w:lang w:val="zh-CN" w:eastAsia="zh-CN" w:bidi="zh-CN"/>
      </w:rPr>
    </w:lvl>
    <w:lvl w:ilvl="8">
      <w:start w:val="0"/>
      <w:numFmt w:val="bullet"/>
      <w:lvlText w:val="•"/>
      <w:lvlJc w:val="left"/>
      <w:pPr>
        <w:ind w:left="7768" w:hanging="481"/>
      </w:pPr>
      <w:rPr>
        <w:rFonts w:hint="default"/>
        <w:lang w:val="zh-CN" w:eastAsia="zh-CN" w:bidi="zh-CN"/>
      </w:rPr>
    </w:lvl>
  </w:abstractNum>
  <w:abstractNum w:abstractNumId="4">
    <w:multiLevelType w:val="hybridMultilevel"/>
    <w:lvl w:ilvl="0">
      <w:start w:val="1"/>
      <w:numFmt w:val="decimal"/>
      <w:lvlText w:val="%1."/>
      <w:lvlJc w:val="left"/>
      <w:pPr>
        <w:ind w:left="1468" w:hanging="481"/>
        <w:jc w:val="left"/>
      </w:pPr>
      <w:rPr>
        <w:rFonts w:hint="default" w:ascii="仿宋" w:hAnsi="仿宋" w:eastAsia="仿宋" w:cs="仿宋"/>
        <w:spacing w:val="0"/>
        <w:w w:val="99"/>
        <w:sz w:val="30"/>
        <w:szCs w:val="30"/>
        <w:lang w:val="zh-CN" w:eastAsia="zh-CN" w:bidi="zh-CN"/>
      </w:rPr>
    </w:lvl>
    <w:lvl w:ilvl="1">
      <w:start w:val="0"/>
      <w:numFmt w:val="bullet"/>
      <w:lvlText w:val="•"/>
      <w:lvlJc w:val="left"/>
      <w:pPr>
        <w:ind w:left="2276" w:hanging="481"/>
      </w:pPr>
      <w:rPr>
        <w:rFonts w:hint="default"/>
        <w:lang w:val="zh-CN" w:eastAsia="zh-CN" w:bidi="zh-CN"/>
      </w:rPr>
    </w:lvl>
    <w:lvl w:ilvl="2">
      <w:start w:val="0"/>
      <w:numFmt w:val="bullet"/>
      <w:lvlText w:val="•"/>
      <w:lvlJc w:val="left"/>
      <w:pPr>
        <w:ind w:left="3093" w:hanging="481"/>
      </w:pPr>
      <w:rPr>
        <w:rFonts w:hint="default"/>
        <w:lang w:val="zh-CN" w:eastAsia="zh-CN" w:bidi="zh-CN"/>
      </w:rPr>
    </w:lvl>
    <w:lvl w:ilvl="3">
      <w:start w:val="0"/>
      <w:numFmt w:val="bullet"/>
      <w:lvlText w:val="•"/>
      <w:lvlJc w:val="left"/>
      <w:pPr>
        <w:ind w:left="3909" w:hanging="481"/>
      </w:pPr>
      <w:rPr>
        <w:rFonts w:hint="default"/>
        <w:lang w:val="zh-CN" w:eastAsia="zh-CN" w:bidi="zh-CN"/>
      </w:rPr>
    </w:lvl>
    <w:lvl w:ilvl="4">
      <w:start w:val="0"/>
      <w:numFmt w:val="bullet"/>
      <w:lvlText w:val="•"/>
      <w:lvlJc w:val="left"/>
      <w:pPr>
        <w:ind w:left="4726" w:hanging="481"/>
      </w:pPr>
      <w:rPr>
        <w:rFonts w:hint="default"/>
        <w:lang w:val="zh-CN" w:eastAsia="zh-CN" w:bidi="zh-CN"/>
      </w:rPr>
    </w:lvl>
    <w:lvl w:ilvl="5">
      <w:start w:val="0"/>
      <w:numFmt w:val="bullet"/>
      <w:lvlText w:val="•"/>
      <w:lvlJc w:val="left"/>
      <w:pPr>
        <w:ind w:left="5543" w:hanging="481"/>
      </w:pPr>
      <w:rPr>
        <w:rFonts w:hint="default"/>
        <w:lang w:val="zh-CN" w:eastAsia="zh-CN" w:bidi="zh-CN"/>
      </w:rPr>
    </w:lvl>
    <w:lvl w:ilvl="6">
      <w:start w:val="0"/>
      <w:numFmt w:val="bullet"/>
      <w:lvlText w:val="•"/>
      <w:lvlJc w:val="left"/>
      <w:pPr>
        <w:ind w:left="6359" w:hanging="481"/>
      </w:pPr>
      <w:rPr>
        <w:rFonts w:hint="default"/>
        <w:lang w:val="zh-CN" w:eastAsia="zh-CN" w:bidi="zh-CN"/>
      </w:rPr>
    </w:lvl>
    <w:lvl w:ilvl="7">
      <w:start w:val="0"/>
      <w:numFmt w:val="bullet"/>
      <w:lvlText w:val="•"/>
      <w:lvlJc w:val="left"/>
      <w:pPr>
        <w:ind w:left="7176" w:hanging="481"/>
      </w:pPr>
      <w:rPr>
        <w:rFonts w:hint="default"/>
        <w:lang w:val="zh-CN" w:eastAsia="zh-CN" w:bidi="zh-CN"/>
      </w:rPr>
    </w:lvl>
    <w:lvl w:ilvl="8">
      <w:start w:val="0"/>
      <w:numFmt w:val="bullet"/>
      <w:lvlText w:val="•"/>
      <w:lvlJc w:val="left"/>
      <w:pPr>
        <w:ind w:left="7992" w:hanging="481"/>
      </w:pPr>
      <w:rPr>
        <w:rFonts w:hint="default"/>
        <w:lang w:val="zh-CN" w:eastAsia="zh-CN" w:bidi="zh-CN"/>
      </w:rPr>
    </w:lvl>
  </w:abstractNum>
  <w:abstractNum w:abstractNumId="3">
    <w:multiLevelType w:val="hybridMultilevel"/>
    <w:lvl w:ilvl="0">
      <w:start w:val="2"/>
      <w:numFmt w:val="decimal"/>
      <w:lvlText w:val="%1."/>
      <w:lvlJc w:val="left"/>
      <w:pPr>
        <w:ind w:left="1468" w:hanging="481"/>
        <w:jc w:val="left"/>
      </w:pPr>
      <w:rPr>
        <w:rFonts w:hint="default" w:ascii="仿宋" w:hAnsi="仿宋" w:eastAsia="仿宋" w:cs="仿宋"/>
        <w:spacing w:val="0"/>
        <w:w w:val="99"/>
        <w:sz w:val="30"/>
        <w:szCs w:val="30"/>
        <w:lang w:val="zh-CN" w:eastAsia="zh-CN" w:bidi="zh-CN"/>
      </w:rPr>
    </w:lvl>
    <w:lvl w:ilvl="1">
      <w:start w:val="0"/>
      <w:numFmt w:val="bullet"/>
      <w:lvlText w:val="•"/>
      <w:lvlJc w:val="left"/>
      <w:pPr>
        <w:ind w:left="2276" w:hanging="481"/>
      </w:pPr>
      <w:rPr>
        <w:rFonts w:hint="default"/>
        <w:lang w:val="zh-CN" w:eastAsia="zh-CN" w:bidi="zh-CN"/>
      </w:rPr>
    </w:lvl>
    <w:lvl w:ilvl="2">
      <w:start w:val="0"/>
      <w:numFmt w:val="bullet"/>
      <w:lvlText w:val="•"/>
      <w:lvlJc w:val="left"/>
      <w:pPr>
        <w:ind w:left="3093" w:hanging="481"/>
      </w:pPr>
      <w:rPr>
        <w:rFonts w:hint="default"/>
        <w:lang w:val="zh-CN" w:eastAsia="zh-CN" w:bidi="zh-CN"/>
      </w:rPr>
    </w:lvl>
    <w:lvl w:ilvl="3">
      <w:start w:val="0"/>
      <w:numFmt w:val="bullet"/>
      <w:lvlText w:val="•"/>
      <w:lvlJc w:val="left"/>
      <w:pPr>
        <w:ind w:left="3909" w:hanging="481"/>
      </w:pPr>
      <w:rPr>
        <w:rFonts w:hint="default"/>
        <w:lang w:val="zh-CN" w:eastAsia="zh-CN" w:bidi="zh-CN"/>
      </w:rPr>
    </w:lvl>
    <w:lvl w:ilvl="4">
      <w:start w:val="0"/>
      <w:numFmt w:val="bullet"/>
      <w:lvlText w:val="•"/>
      <w:lvlJc w:val="left"/>
      <w:pPr>
        <w:ind w:left="4726" w:hanging="481"/>
      </w:pPr>
      <w:rPr>
        <w:rFonts w:hint="default"/>
        <w:lang w:val="zh-CN" w:eastAsia="zh-CN" w:bidi="zh-CN"/>
      </w:rPr>
    </w:lvl>
    <w:lvl w:ilvl="5">
      <w:start w:val="0"/>
      <w:numFmt w:val="bullet"/>
      <w:lvlText w:val="•"/>
      <w:lvlJc w:val="left"/>
      <w:pPr>
        <w:ind w:left="5543" w:hanging="481"/>
      </w:pPr>
      <w:rPr>
        <w:rFonts w:hint="default"/>
        <w:lang w:val="zh-CN" w:eastAsia="zh-CN" w:bidi="zh-CN"/>
      </w:rPr>
    </w:lvl>
    <w:lvl w:ilvl="6">
      <w:start w:val="0"/>
      <w:numFmt w:val="bullet"/>
      <w:lvlText w:val="•"/>
      <w:lvlJc w:val="left"/>
      <w:pPr>
        <w:ind w:left="6359" w:hanging="481"/>
      </w:pPr>
      <w:rPr>
        <w:rFonts w:hint="default"/>
        <w:lang w:val="zh-CN" w:eastAsia="zh-CN" w:bidi="zh-CN"/>
      </w:rPr>
    </w:lvl>
    <w:lvl w:ilvl="7">
      <w:start w:val="0"/>
      <w:numFmt w:val="bullet"/>
      <w:lvlText w:val="•"/>
      <w:lvlJc w:val="left"/>
      <w:pPr>
        <w:ind w:left="7176" w:hanging="481"/>
      </w:pPr>
      <w:rPr>
        <w:rFonts w:hint="default"/>
        <w:lang w:val="zh-CN" w:eastAsia="zh-CN" w:bidi="zh-CN"/>
      </w:rPr>
    </w:lvl>
    <w:lvl w:ilvl="8">
      <w:start w:val="0"/>
      <w:numFmt w:val="bullet"/>
      <w:lvlText w:val="•"/>
      <w:lvlJc w:val="left"/>
      <w:pPr>
        <w:ind w:left="7992" w:hanging="481"/>
      </w:pPr>
      <w:rPr>
        <w:rFonts w:hint="default"/>
        <w:lang w:val="zh-CN" w:eastAsia="zh-CN" w:bidi="zh-CN"/>
      </w:rPr>
    </w:lvl>
  </w:abstractNum>
  <w:abstractNum w:abstractNumId="2">
    <w:multiLevelType w:val="hybridMultilevel"/>
    <w:lvl w:ilvl="0">
      <w:start w:val="1"/>
      <w:numFmt w:val="decimal"/>
      <w:lvlText w:val="%1."/>
      <w:lvlJc w:val="left"/>
      <w:pPr>
        <w:ind w:left="346" w:hanging="483"/>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268" w:hanging="483"/>
      </w:pPr>
      <w:rPr>
        <w:rFonts w:hint="default"/>
        <w:lang w:val="zh-CN" w:eastAsia="zh-CN" w:bidi="zh-CN"/>
      </w:rPr>
    </w:lvl>
    <w:lvl w:ilvl="2">
      <w:start w:val="0"/>
      <w:numFmt w:val="bullet"/>
      <w:lvlText w:val="•"/>
      <w:lvlJc w:val="left"/>
      <w:pPr>
        <w:ind w:left="2197" w:hanging="483"/>
      </w:pPr>
      <w:rPr>
        <w:rFonts w:hint="default"/>
        <w:lang w:val="zh-CN" w:eastAsia="zh-CN" w:bidi="zh-CN"/>
      </w:rPr>
    </w:lvl>
    <w:lvl w:ilvl="3">
      <w:start w:val="0"/>
      <w:numFmt w:val="bullet"/>
      <w:lvlText w:val="•"/>
      <w:lvlJc w:val="left"/>
      <w:pPr>
        <w:ind w:left="3125" w:hanging="483"/>
      </w:pPr>
      <w:rPr>
        <w:rFonts w:hint="default"/>
        <w:lang w:val="zh-CN" w:eastAsia="zh-CN" w:bidi="zh-CN"/>
      </w:rPr>
    </w:lvl>
    <w:lvl w:ilvl="4">
      <w:start w:val="0"/>
      <w:numFmt w:val="bullet"/>
      <w:lvlText w:val="•"/>
      <w:lvlJc w:val="left"/>
      <w:pPr>
        <w:ind w:left="4054" w:hanging="483"/>
      </w:pPr>
      <w:rPr>
        <w:rFonts w:hint="default"/>
        <w:lang w:val="zh-CN" w:eastAsia="zh-CN" w:bidi="zh-CN"/>
      </w:rPr>
    </w:lvl>
    <w:lvl w:ilvl="5">
      <w:start w:val="0"/>
      <w:numFmt w:val="bullet"/>
      <w:lvlText w:val="•"/>
      <w:lvlJc w:val="left"/>
      <w:pPr>
        <w:ind w:left="4983" w:hanging="483"/>
      </w:pPr>
      <w:rPr>
        <w:rFonts w:hint="default"/>
        <w:lang w:val="zh-CN" w:eastAsia="zh-CN" w:bidi="zh-CN"/>
      </w:rPr>
    </w:lvl>
    <w:lvl w:ilvl="6">
      <w:start w:val="0"/>
      <w:numFmt w:val="bullet"/>
      <w:lvlText w:val="•"/>
      <w:lvlJc w:val="left"/>
      <w:pPr>
        <w:ind w:left="5911" w:hanging="483"/>
      </w:pPr>
      <w:rPr>
        <w:rFonts w:hint="default"/>
        <w:lang w:val="zh-CN" w:eastAsia="zh-CN" w:bidi="zh-CN"/>
      </w:rPr>
    </w:lvl>
    <w:lvl w:ilvl="7">
      <w:start w:val="0"/>
      <w:numFmt w:val="bullet"/>
      <w:lvlText w:val="•"/>
      <w:lvlJc w:val="left"/>
      <w:pPr>
        <w:ind w:left="6840" w:hanging="483"/>
      </w:pPr>
      <w:rPr>
        <w:rFonts w:hint="default"/>
        <w:lang w:val="zh-CN" w:eastAsia="zh-CN" w:bidi="zh-CN"/>
      </w:rPr>
    </w:lvl>
    <w:lvl w:ilvl="8">
      <w:start w:val="0"/>
      <w:numFmt w:val="bullet"/>
      <w:lvlText w:val="•"/>
      <w:lvlJc w:val="left"/>
      <w:pPr>
        <w:ind w:left="7768" w:hanging="483"/>
      </w:pPr>
      <w:rPr>
        <w:rFonts w:hint="default"/>
        <w:lang w:val="zh-CN" w:eastAsia="zh-CN" w:bidi="zh-CN"/>
      </w:rPr>
    </w:lvl>
  </w:abstractNum>
  <w:abstractNum w:abstractNumId="1">
    <w:multiLevelType w:val="hybridMultilevel"/>
    <w:lvl w:ilvl="0">
      <w:start w:val="1"/>
      <w:numFmt w:val="decimal"/>
      <w:lvlText w:val="%1."/>
      <w:lvlJc w:val="left"/>
      <w:pPr>
        <w:ind w:left="1469" w:hanging="483"/>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2276" w:hanging="483"/>
      </w:pPr>
      <w:rPr>
        <w:rFonts w:hint="default"/>
        <w:lang w:val="zh-CN" w:eastAsia="zh-CN" w:bidi="zh-CN"/>
      </w:rPr>
    </w:lvl>
    <w:lvl w:ilvl="2">
      <w:start w:val="0"/>
      <w:numFmt w:val="bullet"/>
      <w:lvlText w:val="•"/>
      <w:lvlJc w:val="left"/>
      <w:pPr>
        <w:ind w:left="3093" w:hanging="483"/>
      </w:pPr>
      <w:rPr>
        <w:rFonts w:hint="default"/>
        <w:lang w:val="zh-CN" w:eastAsia="zh-CN" w:bidi="zh-CN"/>
      </w:rPr>
    </w:lvl>
    <w:lvl w:ilvl="3">
      <w:start w:val="0"/>
      <w:numFmt w:val="bullet"/>
      <w:lvlText w:val="•"/>
      <w:lvlJc w:val="left"/>
      <w:pPr>
        <w:ind w:left="3909" w:hanging="483"/>
      </w:pPr>
      <w:rPr>
        <w:rFonts w:hint="default"/>
        <w:lang w:val="zh-CN" w:eastAsia="zh-CN" w:bidi="zh-CN"/>
      </w:rPr>
    </w:lvl>
    <w:lvl w:ilvl="4">
      <w:start w:val="0"/>
      <w:numFmt w:val="bullet"/>
      <w:lvlText w:val="•"/>
      <w:lvlJc w:val="left"/>
      <w:pPr>
        <w:ind w:left="4726" w:hanging="483"/>
      </w:pPr>
      <w:rPr>
        <w:rFonts w:hint="default"/>
        <w:lang w:val="zh-CN" w:eastAsia="zh-CN" w:bidi="zh-CN"/>
      </w:rPr>
    </w:lvl>
    <w:lvl w:ilvl="5">
      <w:start w:val="0"/>
      <w:numFmt w:val="bullet"/>
      <w:lvlText w:val="•"/>
      <w:lvlJc w:val="left"/>
      <w:pPr>
        <w:ind w:left="5543" w:hanging="483"/>
      </w:pPr>
      <w:rPr>
        <w:rFonts w:hint="default"/>
        <w:lang w:val="zh-CN" w:eastAsia="zh-CN" w:bidi="zh-CN"/>
      </w:rPr>
    </w:lvl>
    <w:lvl w:ilvl="6">
      <w:start w:val="0"/>
      <w:numFmt w:val="bullet"/>
      <w:lvlText w:val="•"/>
      <w:lvlJc w:val="left"/>
      <w:pPr>
        <w:ind w:left="6359" w:hanging="483"/>
      </w:pPr>
      <w:rPr>
        <w:rFonts w:hint="default"/>
        <w:lang w:val="zh-CN" w:eastAsia="zh-CN" w:bidi="zh-CN"/>
      </w:rPr>
    </w:lvl>
    <w:lvl w:ilvl="7">
      <w:start w:val="0"/>
      <w:numFmt w:val="bullet"/>
      <w:lvlText w:val="•"/>
      <w:lvlJc w:val="left"/>
      <w:pPr>
        <w:ind w:left="7176" w:hanging="483"/>
      </w:pPr>
      <w:rPr>
        <w:rFonts w:hint="default"/>
        <w:lang w:val="zh-CN" w:eastAsia="zh-CN" w:bidi="zh-CN"/>
      </w:rPr>
    </w:lvl>
    <w:lvl w:ilvl="8">
      <w:start w:val="0"/>
      <w:numFmt w:val="bullet"/>
      <w:lvlText w:val="•"/>
      <w:lvlJc w:val="left"/>
      <w:pPr>
        <w:ind w:left="7992" w:hanging="483"/>
      </w:pPr>
      <w:rPr>
        <w:rFonts w:hint="default"/>
        <w:lang w:val="zh-CN" w:eastAsia="zh-CN" w:bidi="zh-CN"/>
      </w:rPr>
    </w:lvl>
  </w:abstractNum>
  <w:abstractNum w:abstractNumId="0">
    <w:multiLevelType w:val="hybridMultilevel"/>
    <w:lvl w:ilvl="0">
      <w:start w:val="1"/>
      <w:numFmt w:val="decimal"/>
      <w:lvlText w:val="%1."/>
      <w:lvlJc w:val="left"/>
      <w:pPr>
        <w:ind w:left="346" w:hanging="483"/>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268" w:hanging="483"/>
      </w:pPr>
      <w:rPr>
        <w:rFonts w:hint="default"/>
        <w:lang w:val="zh-CN" w:eastAsia="zh-CN" w:bidi="zh-CN"/>
      </w:rPr>
    </w:lvl>
    <w:lvl w:ilvl="2">
      <w:start w:val="0"/>
      <w:numFmt w:val="bullet"/>
      <w:lvlText w:val="•"/>
      <w:lvlJc w:val="left"/>
      <w:pPr>
        <w:ind w:left="2197" w:hanging="483"/>
      </w:pPr>
      <w:rPr>
        <w:rFonts w:hint="default"/>
        <w:lang w:val="zh-CN" w:eastAsia="zh-CN" w:bidi="zh-CN"/>
      </w:rPr>
    </w:lvl>
    <w:lvl w:ilvl="3">
      <w:start w:val="0"/>
      <w:numFmt w:val="bullet"/>
      <w:lvlText w:val="•"/>
      <w:lvlJc w:val="left"/>
      <w:pPr>
        <w:ind w:left="3125" w:hanging="483"/>
      </w:pPr>
      <w:rPr>
        <w:rFonts w:hint="default"/>
        <w:lang w:val="zh-CN" w:eastAsia="zh-CN" w:bidi="zh-CN"/>
      </w:rPr>
    </w:lvl>
    <w:lvl w:ilvl="4">
      <w:start w:val="0"/>
      <w:numFmt w:val="bullet"/>
      <w:lvlText w:val="•"/>
      <w:lvlJc w:val="left"/>
      <w:pPr>
        <w:ind w:left="4054" w:hanging="483"/>
      </w:pPr>
      <w:rPr>
        <w:rFonts w:hint="default"/>
        <w:lang w:val="zh-CN" w:eastAsia="zh-CN" w:bidi="zh-CN"/>
      </w:rPr>
    </w:lvl>
    <w:lvl w:ilvl="5">
      <w:start w:val="0"/>
      <w:numFmt w:val="bullet"/>
      <w:lvlText w:val="•"/>
      <w:lvlJc w:val="left"/>
      <w:pPr>
        <w:ind w:left="4983" w:hanging="483"/>
      </w:pPr>
      <w:rPr>
        <w:rFonts w:hint="default"/>
        <w:lang w:val="zh-CN" w:eastAsia="zh-CN" w:bidi="zh-CN"/>
      </w:rPr>
    </w:lvl>
    <w:lvl w:ilvl="6">
      <w:start w:val="0"/>
      <w:numFmt w:val="bullet"/>
      <w:lvlText w:val="•"/>
      <w:lvlJc w:val="left"/>
      <w:pPr>
        <w:ind w:left="5911" w:hanging="483"/>
      </w:pPr>
      <w:rPr>
        <w:rFonts w:hint="default"/>
        <w:lang w:val="zh-CN" w:eastAsia="zh-CN" w:bidi="zh-CN"/>
      </w:rPr>
    </w:lvl>
    <w:lvl w:ilvl="7">
      <w:start w:val="0"/>
      <w:numFmt w:val="bullet"/>
      <w:lvlText w:val="•"/>
      <w:lvlJc w:val="left"/>
      <w:pPr>
        <w:ind w:left="6840" w:hanging="483"/>
      </w:pPr>
      <w:rPr>
        <w:rFonts w:hint="default"/>
        <w:lang w:val="zh-CN" w:eastAsia="zh-CN" w:bidi="zh-CN"/>
      </w:rPr>
    </w:lvl>
    <w:lvl w:ilvl="8">
      <w:start w:val="0"/>
      <w:numFmt w:val="bullet"/>
      <w:lvlText w:val="•"/>
      <w:lvlJc w:val="left"/>
      <w:pPr>
        <w:ind w:left="7768" w:hanging="483"/>
      </w:pPr>
      <w:rPr>
        <w:rFonts w:hint="default"/>
        <w:lang w:val="zh-CN" w:eastAsia="zh-CN" w:bidi="zh-CN"/>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ListParagraph" w:type="paragraph">
    <w:name w:val="List Paragraph"/>
    <w:basedOn w:val="Normal"/>
    <w:uiPriority w:val="1"/>
    <w:qFormat/>
    <w:pPr>
      <w:spacing w:before="214"/>
      <w:ind w:left="346" w:firstLine="640"/>
    </w:pPr>
    <w:rPr>
      <w:rFonts w:ascii="仿宋" w:hAnsi="仿宋" w:eastAsia="仿宋" w:cs="仿宋"/>
      <w:lang w:val="zh-CN" w:eastAsia="zh-CN" w:bidi="zh-CN"/>
    </w:rPr>
  </w:style>
  <w:style w:styleId="TableParagraph" w:type="paragraph">
    <w:name w:val="Table Paragraph"/>
    <w:basedOn w:val="Normal"/>
    <w:uiPriority w:val="1"/>
    <w:qFormat/>
    <w:pPr>
      <w:ind w:left="106"/>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yperlink" Target="http://baike.baidu.com/subview/81607/81607.htm" TargetMode="Externa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刘斌</dc:creator>
  <dcterms:created xsi:type="dcterms:W3CDTF">2020-04-20T03:33:50Z</dcterms:created>
  <dcterms:modified xsi:type="dcterms:W3CDTF">2020-04-20T03:33:50Z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WPS 文字</vt:lpwstr>
  </property>
  <property fmtid="{D5CDD505-2E9C-101B-9397-08002B2CF9AE}" pid="4" name="LastSaved">
    <vt:filetime>2020-04-20T00:00:00Z</vt:filetime>
  </property>
</Properties>
</file>