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516A1">
      <w:pPr>
        <w:keepNext w:val="0"/>
        <w:keepLines w:val="0"/>
        <w:pageBreakBefore w:val="0"/>
        <w:widowControl w:val="0"/>
        <w:kinsoku/>
        <w:wordWrap/>
        <w:overflowPunct/>
        <w:topLinePunct w:val="0"/>
        <w:autoSpaceDE/>
        <w:autoSpaceDN/>
        <w:bidi w:val="0"/>
        <w:adjustRightInd w:val="0"/>
        <w:snapToGrid w:val="0"/>
        <w:spacing w:line="360" w:lineRule="auto"/>
        <w:ind w:firstLine="721" w:firstLineChars="200"/>
        <w:jc w:val="center"/>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方正公文小标宋" w:hAnsi="方正公文小标宋" w:eastAsia="方正公文小标宋" w:cs="方正公文小标宋"/>
          <w:b/>
          <w:bCs w:val="0"/>
          <w:color w:val="000000" w:themeColor="text1"/>
          <w:kern w:val="2"/>
          <w:sz w:val="36"/>
          <w:szCs w:val="36"/>
          <w:lang w:val="en-US" w:eastAsia="zh-CN" w:bidi="ar-SA"/>
          <w14:textFill>
            <w14:solidFill>
              <w14:schemeClr w14:val="tx1"/>
            </w14:solidFill>
          </w14:textFill>
        </w:rPr>
        <w:t>知情及安全责任承诺书（参考模板）</w:t>
      </w:r>
      <w:bookmarkStart w:id="0" w:name="_GoBack"/>
      <w:bookmarkEnd w:id="0"/>
    </w:p>
    <w:p w14:paraId="6968336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***学院学生，因</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（事件详细描述）被确诊为***疾病，于***年***月至***年***月休学（请假）治疗。休学（请假）期间，***学生在***医院接受了相关治疗，现***医院诊断</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(填写诊断结果)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已经明确告知学生***及其家长***，学生***返校学习因学习压力、集体生活等诸多因素影响不利于治疗和康复，在各种不确定因素下（包括但不限于学习、人际交往等方面可能带来的压力或危险），可能引发学生***心理波动，容易造成疾病反复且不易察觉、危险性大，存在极大安全隐患。但是，学生***本人及家长学生***从学业成长考虑，极力要求准许其返校学习，且接受（不接受）学校给出的陪读建议。为做好学生***的身心健康教育和安全管理工作，基于上述情况，***家长及***本人已知晓并作出安全责任承诺如下：</w:t>
      </w:r>
    </w:p>
    <w:p w14:paraId="5A48E7D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在学校读书期间，因为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个人原因造成的各种伤害事故，责任由本人及其家长承担。其间，如果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出现了心理问题，家长要</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无条件密切</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配合学校，每天与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同学</w:t>
      </w:r>
      <w:r>
        <w:rPr>
          <w:rFonts w:hint="default"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保持联系</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，了解学生的思想动态、情绪变化，</w:t>
      </w:r>
      <w:r>
        <w:rPr>
          <w:rFonts w:hint="default"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带其定期</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（至少每月一次）</w:t>
      </w:r>
      <w:r>
        <w:rPr>
          <w:rFonts w:hint="default"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前往专业门诊进行诊疗</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复查</w:t>
      </w:r>
      <w:r>
        <w:rPr>
          <w:rFonts w:hint="default"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，向</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学校</w:t>
      </w:r>
      <w:r>
        <w:rPr>
          <w:rFonts w:hint="default"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提交复查结果</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，及时、详实地向学校提供学生思想、心理、学习、生活等各个方面的客观情况（家长应确保至少每月向学校反馈一次学生的情况，学生发生突发状况的，应立即通知学校），</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遵照医嘱进行治疗，督促学生按时吃药并对其多加以支持与鼓励。学习期间，若该生健康状况再度出现心理异常，即办理休学手续。如</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发生任何人身伤害及意外事故（如自杀、自伤、出走、伤人等）或</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发生侵害</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自身、他人、学校等</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行为</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造成自身、他人</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及</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学校人身或财产</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损害</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的情况，以及</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因***学生的</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不良或危险行为产生的任何不良后果，责任全部由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家长和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同学自负，与学校无关</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，因此给学校造成损失的，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家长和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kern w:val="0"/>
          <w:sz w:val="32"/>
          <w:szCs w:val="32"/>
          <w:u w:val="none"/>
          <w:lang w:val="en-US" w:eastAsia="zh-CN"/>
          <w14:textFill>
            <w14:solidFill>
              <w14:schemeClr w14:val="tx1"/>
            </w14:solidFill>
          </w14:textFill>
        </w:rPr>
        <w:t>同学</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应当全额赔偿学校的损失。</w:t>
      </w:r>
    </w:p>
    <w:p w14:paraId="5A67A6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二、</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如出现因应激事件或其他不可控因素导致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心理波动大、有极端念头或行为，或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发生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经学校心理健康教育中心评估需转介的情况时，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家长</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应及时带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去具备专业能力的医疗机构就诊并向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提交诊断结果，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家长</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不履行监护职责或不按期向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提交相关资料的，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有权聘请专业的机构对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进行诊断，如经诊断病情不良的，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有权要求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休学或视诊断情况按法律法规及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学校</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规章制度规定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对学生***</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作出退学处理。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家长承诺，学生***的诊查费、治疗费等费用以及学校聘请专业机构所产生的费用均由家长全额</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承担。</w:t>
      </w:r>
    </w:p>
    <w:p w14:paraId="4E465CC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病情如再次出现加重或反常，或无法适应修读生活，或无法达到学校规定的毕业条件而正常毕业的，学校将根据相关规定给予休学处理，家长应及时来校办理相关手续，不按要求及时办理手续的，或经学校指定的医疗机构鉴定学生***不能继续在学校就读的，或学生***再次休学、保留学籍期满，在规定期限内未提出复学申请或经复查仍不具备在校就读条件的，学校将根据《普通高等学校学生管理规定（2017修订）》（教育部令第41号）及学校相关的学籍管理规定，给予退学处理。</w:t>
      </w:r>
    </w:p>
    <w:p w14:paraId="36CF438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生***就读期间，须严格遵守学校各项规章制度，学校对学生***行为规范和学业的要求与其他在校就读学生没有差别，学生***的学习成绩未达到学校要求或在学校规定年限内未完成学业，或发生其他法律法规或学校相关规章管理制度规定的可予退学处理的情形的，学校有权根据相关规定给予退学处理。</w:t>
      </w:r>
    </w:p>
    <w:p w14:paraId="108ABBB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此《知情及安全责任承诺书》家长、学生签字后生效。             </w:t>
      </w:r>
    </w:p>
    <w:p w14:paraId="207CD599">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5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家长签名：           </w:t>
      </w:r>
    </w:p>
    <w:p w14:paraId="64AAED53">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5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年    月   日     </w:t>
      </w:r>
    </w:p>
    <w:p w14:paraId="42DABDF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学生签名：</w:t>
      </w:r>
    </w:p>
    <w:p w14:paraId="0B6874E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年    月   日</w:t>
      </w:r>
    </w:p>
    <w:p w14:paraId="2A6A2015">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000000" w:themeColor="text1"/>
          <w14:textFill>
            <w14:solidFill>
              <w14:schemeClr w14:val="tx1"/>
            </w14:solidFill>
          </w14:textFill>
        </w:rPr>
      </w:pPr>
    </w:p>
    <w:p w14:paraId="198E2152">
      <w:pPr>
        <w:keepNext w:val="0"/>
        <w:keepLines w:val="0"/>
        <w:pageBreakBefore w:val="0"/>
        <w:widowControl w:val="0"/>
        <w:kinsoku/>
        <w:wordWrap/>
        <w:overflowPunct/>
        <w:topLinePunct w:val="0"/>
        <w:autoSpaceDE/>
        <w:autoSpaceDN/>
        <w:bidi w:val="0"/>
        <w:adjustRightInd w:val="0"/>
        <w:snapToGrid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875E6A4-3767-404C-9ECE-059D77955B7D}"/>
  </w:font>
  <w:font w:name="仿宋_GB2312">
    <w:panose1 w:val="02010609030101010101"/>
    <w:charset w:val="86"/>
    <w:family w:val="auto"/>
    <w:pitch w:val="default"/>
    <w:sig w:usb0="00000001" w:usb1="080E0000" w:usb2="00000000" w:usb3="00000000" w:csb0="00040000" w:csb1="00000000"/>
    <w:embedRegular r:id="rId2" w:fontKey="{1FBB1AC3-DCA1-407E-AC2F-BF67B92CB993}"/>
  </w:font>
  <w:font w:name="方正公文小标宋">
    <w:panose1 w:val="02000500000000000000"/>
    <w:charset w:val="86"/>
    <w:family w:val="auto"/>
    <w:pitch w:val="default"/>
    <w:sig w:usb0="A00002BF" w:usb1="38CF7CFA" w:usb2="00000016" w:usb3="00000000" w:csb0="00040001" w:csb1="00000000"/>
    <w:embedRegular r:id="rId3" w:fontKey="{A4BA4721-FC3D-480C-857F-1389E6450E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B6482"/>
    <w:rsid w:val="044B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2024-12-14T07:08:00Z</dcterms:created>
  <dc:creator>DF0808</dc:creator>
  <cp:lastModifiedBy>DF0808</cp:lastModifiedBy>
  <dcterms:modified xsi:type="dcterms:W3CDTF">2024-12-14T07:08:43Z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240B1975736C42A5B88F73E1CECA8187_11</vt:lpwstr>
  </property>
</Properties>
</file>